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29BB" w14:textId="429304E6" w:rsidR="004D7DE6" w:rsidRPr="004D7DE6" w:rsidRDefault="008C123F" w:rsidP="004D7DE6">
      <w:pPr>
        <w:pStyle w:val="BodyText"/>
        <w:jc w:val="both"/>
        <w:rPr>
          <w:rFonts w:ascii="Times New Roman" w:hAnsi="Times New Roman"/>
          <w:noProof/>
          <w:sz w:val="24"/>
        </w:rPr>
      </w:pPr>
      <w:r>
        <w:rPr>
          <w:rFonts w:ascii="Times New Roman" w:hAnsi="Times New Roman"/>
          <w:noProof/>
          <w:sz w:val="24"/>
        </w:rPr>
        <w:drawing>
          <wp:inline distT="0" distB="0" distL="0" distR="0" wp14:anchorId="0BC067CA" wp14:editId="3E02CF48">
            <wp:extent cx="2063669" cy="740229"/>
            <wp:effectExtent l="0" t="0" r="0" b="3175"/>
            <wp:docPr id="58413130"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3130" name="Picture 1" descr="A white background with blue text&#10;&#10;Description automatically generated"/>
                    <pic:cNvPicPr/>
                  </pic:nvPicPr>
                  <pic:blipFill rotWithShape="1">
                    <a:blip r:embed="rId10">
                      <a:extLst>
                        <a:ext uri="{28A0092B-C50C-407E-A947-70E740481C1C}">
                          <a14:useLocalDpi xmlns:a14="http://schemas.microsoft.com/office/drawing/2010/main" val="0"/>
                        </a:ext>
                      </a:extLst>
                    </a:blip>
                    <a:srcRect r="69587" b="89764"/>
                    <a:stretch/>
                  </pic:blipFill>
                  <pic:spPr bwMode="auto">
                    <a:xfrm>
                      <a:off x="0" y="0"/>
                      <a:ext cx="2072498" cy="743396"/>
                    </a:xfrm>
                    <a:prstGeom prst="rect">
                      <a:avLst/>
                    </a:prstGeom>
                    <a:ln>
                      <a:noFill/>
                    </a:ln>
                    <a:extLst>
                      <a:ext uri="{53640926-AAD7-44D8-BBD7-CCE9431645EC}">
                        <a14:shadowObscured xmlns:a14="http://schemas.microsoft.com/office/drawing/2010/main"/>
                      </a:ext>
                    </a:extLst>
                  </pic:spPr>
                </pic:pic>
              </a:graphicData>
            </a:graphic>
          </wp:inline>
        </w:drawing>
      </w:r>
    </w:p>
    <w:p w14:paraId="190EAE4C" w14:textId="77777777" w:rsidR="004D7DE6" w:rsidRPr="004D7DE6" w:rsidRDefault="004D7DE6" w:rsidP="004D7DE6">
      <w:pPr>
        <w:pStyle w:val="BodyText"/>
        <w:jc w:val="both"/>
        <w:rPr>
          <w:rFonts w:ascii="Times New Roman" w:hAnsi="Times New Roman"/>
          <w:noProof/>
          <w:sz w:val="24"/>
        </w:rPr>
      </w:pPr>
    </w:p>
    <w:p w14:paraId="63415866" w14:textId="77777777" w:rsidR="004D7DE6" w:rsidRPr="004D7DE6" w:rsidRDefault="004D7DE6" w:rsidP="004D7DE6">
      <w:pPr>
        <w:pStyle w:val="BodyText"/>
        <w:jc w:val="both"/>
        <w:rPr>
          <w:rFonts w:ascii="Times New Roman" w:hAnsi="Times New Roman"/>
          <w:noProof/>
          <w:sz w:val="24"/>
        </w:rPr>
      </w:pPr>
    </w:p>
    <w:p w14:paraId="5CE92322" w14:textId="77777777" w:rsidR="004D7DE6" w:rsidRPr="004D7DE6" w:rsidRDefault="004D7DE6" w:rsidP="004D7DE6">
      <w:pPr>
        <w:pStyle w:val="BodyText"/>
        <w:jc w:val="both"/>
        <w:rPr>
          <w:rFonts w:ascii="Times New Roman" w:hAnsi="Times New Roman"/>
          <w:noProof/>
          <w:sz w:val="24"/>
        </w:rPr>
      </w:pPr>
    </w:p>
    <w:p w14:paraId="76F5C6A2" w14:textId="77777777" w:rsidR="004D7DE6" w:rsidRPr="004D7DE6" w:rsidRDefault="004D7DE6" w:rsidP="004D7DE6">
      <w:pPr>
        <w:pStyle w:val="BodyText"/>
        <w:jc w:val="both"/>
        <w:rPr>
          <w:rFonts w:ascii="Times New Roman" w:hAnsi="Times New Roman"/>
          <w:noProof/>
          <w:sz w:val="24"/>
        </w:rPr>
      </w:pPr>
    </w:p>
    <w:p w14:paraId="4DD23BA6" w14:textId="77777777" w:rsidR="004D7DE6" w:rsidRPr="004D7DE6" w:rsidRDefault="004D7DE6" w:rsidP="004D7DE6">
      <w:pPr>
        <w:pStyle w:val="BodyText"/>
        <w:jc w:val="both"/>
        <w:rPr>
          <w:rFonts w:ascii="Times New Roman" w:hAnsi="Times New Roman"/>
          <w:noProof/>
          <w:sz w:val="24"/>
        </w:rPr>
      </w:pPr>
    </w:p>
    <w:p w14:paraId="15472074" w14:textId="77777777" w:rsidR="004D7DE6" w:rsidRPr="004D7DE6" w:rsidRDefault="004D7DE6" w:rsidP="004D7DE6">
      <w:pPr>
        <w:pStyle w:val="BodyText"/>
        <w:jc w:val="both"/>
        <w:rPr>
          <w:rFonts w:ascii="Times New Roman" w:hAnsi="Times New Roman"/>
          <w:noProof/>
          <w:sz w:val="24"/>
        </w:rPr>
      </w:pPr>
    </w:p>
    <w:p w14:paraId="64B4D11D" w14:textId="77777777" w:rsidR="004D7DE6" w:rsidRPr="004D7DE6" w:rsidRDefault="004D7DE6" w:rsidP="004D7DE6">
      <w:pPr>
        <w:pStyle w:val="BodyText"/>
        <w:jc w:val="both"/>
        <w:rPr>
          <w:rFonts w:ascii="Times New Roman" w:hAnsi="Times New Roman"/>
          <w:noProof/>
          <w:sz w:val="24"/>
        </w:rPr>
      </w:pPr>
    </w:p>
    <w:p w14:paraId="07C7309D" w14:textId="77777777" w:rsidR="004D7DE6" w:rsidRPr="004D7DE6" w:rsidRDefault="004D7DE6" w:rsidP="004D7DE6">
      <w:pPr>
        <w:pStyle w:val="BodyText"/>
        <w:jc w:val="both"/>
        <w:rPr>
          <w:rFonts w:ascii="Times New Roman" w:hAnsi="Times New Roman"/>
          <w:noProof/>
          <w:sz w:val="24"/>
        </w:rPr>
      </w:pPr>
    </w:p>
    <w:p w14:paraId="7FA099CC" w14:textId="77777777" w:rsidR="004D7DE6" w:rsidRPr="004D7DE6" w:rsidRDefault="004D7DE6" w:rsidP="004D7DE6">
      <w:pPr>
        <w:pStyle w:val="BodyText"/>
        <w:jc w:val="both"/>
        <w:rPr>
          <w:rFonts w:ascii="Times New Roman" w:hAnsi="Times New Roman"/>
          <w:noProof/>
          <w:sz w:val="24"/>
        </w:rPr>
      </w:pPr>
    </w:p>
    <w:p w14:paraId="4F39321A" w14:textId="77777777" w:rsidR="004D7DE6" w:rsidRPr="004D7DE6" w:rsidRDefault="004D7DE6" w:rsidP="004D7DE6">
      <w:pPr>
        <w:pStyle w:val="Title"/>
        <w:spacing w:before="0"/>
        <w:ind w:left="0" w:right="0"/>
        <w:rPr>
          <w:rFonts w:ascii="Times New Roman" w:hAnsi="Times New Roman"/>
          <w:noProof/>
          <w:color w:val="007EC2"/>
          <w:sz w:val="36"/>
          <w:szCs w:val="72"/>
        </w:rPr>
      </w:pPr>
      <w:r>
        <w:rPr>
          <w:rFonts w:ascii="Times New Roman" w:hAnsi="Times New Roman"/>
          <w:color w:val="007EC2"/>
          <w:sz w:val="36"/>
        </w:rPr>
        <w:t>Pieņemami atbilstības nodrošināšanas līdzekļi (</w:t>
      </w:r>
      <w:r>
        <w:rPr>
          <w:rFonts w:ascii="Times New Roman" w:hAnsi="Times New Roman"/>
          <w:i/>
          <w:iCs/>
          <w:color w:val="007EC2"/>
          <w:sz w:val="36"/>
        </w:rPr>
        <w:t>AMC</w:t>
      </w:r>
      <w:r>
        <w:rPr>
          <w:rFonts w:ascii="Times New Roman" w:hAnsi="Times New Roman"/>
          <w:color w:val="007EC2"/>
          <w:sz w:val="36"/>
        </w:rPr>
        <w:t>) un vadlīnijas (</w:t>
      </w:r>
      <w:r>
        <w:rPr>
          <w:rFonts w:ascii="Times New Roman" w:hAnsi="Times New Roman"/>
          <w:i/>
          <w:iCs/>
          <w:color w:val="007EC2"/>
          <w:sz w:val="36"/>
        </w:rPr>
        <w:t>GM</w:t>
      </w:r>
      <w:r>
        <w:rPr>
          <w:rFonts w:ascii="Times New Roman" w:hAnsi="Times New Roman"/>
          <w:color w:val="007EC2"/>
          <w:sz w:val="36"/>
        </w:rPr>
        <w:t>) par Komisijas Deleģētās regulas (ES) 2022/1645 un Komisijas Īstenošanas regulas (ES) 2023/203 pantiem</w:t>
      </w:r>
    </w:p>
    <w:p w14:paraId="6043E72F" w14:textId="77777777" w:rsidR="004D7DE6" w:rsidRPr="004D7DE6" w:rsidRDefault="004D7DE6" w:rsidP="004D7DE6">
      <w:pPr>
        <w:pStyle w:val="BodyText"/>
        <w:jc w:val="both"/>
        <w:rPr>
          <w:rFonts w:ascii="Times New Roman" w:hAnsi="Times New Roman"/>
          <w:b/>
          <w:noProof/>
          <w:sz w:val="24"/>
        </w:rPr>
      </w:pPr>
    </w:p>
    <w:p w14:paraId="2808EAD0" w14:textId="77777777" w:rsidR="004D7DE6" w:rsidRPr="004D7DE6" w:rsidRDefault="004D7DE6" w:rsidP="004D7DE6">
      <w:pPr>
        <w:pStyle w:val="BodyText"/>
        <w:jc w:val="both"/>
        <w:rPr>
          <w:rFonts w:ascii="Times New Roman" w:hAnsi="Times New Roman"/>
          <w:b/>
          <w:noProof/>
          <w:sz w:val="24"/>
        </w:rPr>
      </w:pPr>
    </w:p>
    <w:p w14:paraId="79250740" w14:textId="77777777" w:rsidR="004D7DE6" w:rsidRPr="004D7DE6" w:rsidRDefault="004D7DE6" w:rsidP="004D7DE6">
      <w:pPr>
        <w:pStyle w:val="BodyText"/>
        <w:jc w:val="both"/>
        <w:rPr>
          <w:rFonts w:ascii="Times New Roman" w:hAnsi="Times New Roman"/>
          <w:b/>
          <w:noProof/>
          <w:sz w:val="24"/>
        </w:rPr>
      </w:pPr>
    </w:p>
    <w:p w14:paraId="1C940C5A" w14:textId="77777777" w:rsidR="004D7DE6" w:rsidRPr="004D7DE6" w:rsidRDefault="004D7DE6" w:rsidP="004D7DE6">
      <w:pPr>
        <w:pStyle w:val="BodyText"/>
        <w:jc w:val="both"/>
        <w:rPr>
          <w:rFonts w:ascii="Times New Roman" w:hAnsi="Times New Roman"/>
          <w:b/>
          <w:noProof/>
          <w:sz w:val="24"/>
        </w:rPr>
      </w:pPr>
    </w:p>
    <w:p w14:paraId="76AA93F6" w14:textId="77777777" w:rsidR="004D7DE6" w:rsidRPr="004D7DE6" w:rsidRDefault="004D7DE6" w:rsidP="004D7DE6">
      <w:pPr>
        <w:pStyle w:val="BodyText"/>
        <w:jc w:val="both"/>
        <w:rPr>
          <w:rFonts w:ascii="Times New Roman" w:hAnsi="Times New Roman"/>
          <w:b/>
          <w:noProof/>
          <w:sz w:val="24"/>
        </w:rPr>
      </w:pPr>
    </w:p>
    <w:p w14:paraId="08FB3836" w14:textId="77777777" w:rsidR="004D7DE6" w:rsidRPr="004D7DE6" w:rsidRDefault="004D7DE6" w:rsidP="004D7DE6">
      <w:pPr>
        <w:pStyle w:val="BodyText"/>
        <w:jc w:val="both"/>
        <w:rPr>
          <w:rFonts w:ascii="Times New Roman" w:hAnsi="Times New Roman"/>
          <w:b/>
          <w:noProof/>
          <w:sz w:val="24"/>
        </w:rPr>
      </w:pPr>
    </w:p>
    <w:p w14:paraId="28A81C34" w14:textId="77777777" w:rsidR="004D7DE6" w:rsidRPr="004D7DE6" w:rsidRDefault="004D7DE6" w:rsidP="004D7DE6">
      <w:pPr>
        <w:pStyle w:val="BodyText"/>
        <w:jc w:val="both"/>
        <w:rPr>
          <w:rFonts w:ascii="Times New Roman" w:hAnsi="Times New Roman"/>
          <w:b/>
          <w:noProof/>
          <w:sz w:val="24"/>
        </w:rPr>
      </w:pPr>
    </w:p>
    <w:p w14:paraId="544EAD4A" w14:textId="77777777" w:rsidR="004D7DE6" w:rsidRPr="004D7DE6" w:rsidRDefault="004D7DE6" w:rsidP="004D7DE6">
      <w:pPr>
        <w:pStyle w:val="BodyText"/>
        <w:jc w:val="both"/>
        <w:rPr>
          <w:rFonts w:ascii="Times New Roman" w:hAnsi="Times New Roman"/>
          <w:b/>
          <w:noProof/>
          <w:sz w:val="24"/>
        </w:rPr>
      </w:pPr>
    </w:p>
    <w:p w14:paraId="695AC4C6" w14:textId="77777777" w:rsidR="004D7DE6" w:rsidRPr="004D7DE6" w:rsidRDefault="004D7DE6" w:rsidP="004D7DE6">
      <w:pPr>
        <w:jc w:val="center"/>
        <w:rPr>
          <w:rFonts w:ascii="Times New Roman" w:hAnsi="Times New Roman"/>
          <w:noProof/>
          <w:sz w:val="24"/>
        </w:rPr>
      </w:pPr>
      <w:r>
        <w:rPr>
          <w:rFonts w:ascii="Times New Roman" w:hAnsi="Times New Roman"/>
          <w:sz w:val="24"/>
        </w:rPr>
        <w:t>1. izdevums</w:t>
      </w:r>
    </w:p>
    <w:p w14:paraId="5A3BD86A" w14:textId="77777777" w:rsidR="004D7DE6" w:rsidRPr="004D7DE6" w:rsidRDefault="004D7DE6" w:rsidP="004D7DE6">
      <w:pPr>
        <w:pStyle w:val="BodyText"/>
        <w:jc w:val="center"/>
        <w:rPr>
          <w:rFonts w:ascii="Times New Roman" w:hAnsi="Times New Roman"/>
          <w:noProof/>
          <w:sz w:val="24"/>
        </w:rPr>
      </w:pPr>
    </w:p>
    <w:p w14:paraId="44EA3758" w14:textId="77777777" w:rsidR="004D7DE6" w:rsidRPr="004D7DE6" w:rsidRDefault="004D7DE6" w:rsidP="004D7DE6">
      <w:pPr>
        <w:jc w:val="center"/>
        <w:rPr>
          <w:rFonts w:ascii="Times New Roman" w:hAnsi="Times New Roman"/>
          <w:noProof/>
          <w:sz w:val="24"/>
        </w:rPr>
      </w:pPr>
      <w:r>
        <w:rPr>
          <w:rFonts w:ascii="Times New Roman" w:hAnsi="Times New Roman"/>
          <w:sz w:val="24"/>
        </w:rPr>
        <w:t>2023. gada 12. jūlijā</w:t>
      </w:r>
      <w:r w:rsidRPr="004D7DE6">
        <w:rPr>
          <w:rFonts w:ascii="Times New Roman" w:hAnsi="Times New Roman"/>
          <w:noProof/>
          <w:sz w:val="24"/>
          <w:vertAlign w:val="superscript"/>
        </w:rPr>
        <w:footnoteReference w:id="1"/>
      </w:r>
    </w:p>
    <w:p w14:paraId="685A06D4" w14:textId="77777777" w:rsidR="004D7DE6" w:rsidRPr="004D7DE6" w:rsidRDefault="004D7DE6" w:rsidP="004D7DE6">
      <w:pPr>
        <w:pStyle w:val="BodyText"/>
        <w:jc w:val="both"/>
        <w:rPr>
          <w:rFonts w:ascii="Times New Roman" w:hAnsi="Times New Roman"/>
          <w:noProof/>
          <w:sz w:val="24"/>
        </w:rPr>
      </w:pPr>
    </w:p>
    <w:p w14:paraId="60C4E761" w14:textId="77777777" w:rsidR="004D7DE6" w:rsidRPr="004D7DE6" w:rsidRDefault="004D7DE6" w:rsidP="004D7DE6">
      <w:pPr>
        <w:pStyle w:val="BodyText"/>
        <w:jc w:val="both"/>
        <w:rPr>
          <w:rFonts w:ascii="Times New Roman" w:hAnsi="Times New Roman"/>
          <w:noProof/>
          <w:sz w:val="24"/>
        </w:rPr>
      </w:pPr>
    </w:p>
    <w:p w14:paraId="7CED5172" w14:textId="77777777" w:rsidR="004D7DE6" w:rsidRPr="004D7DE6" w:rsidRDefault="004D7DE6" w:rsidP="004D7DE6">
      <w:pPr>
        <w:pStyle w:val="BodyText"/>
        <w:jc w:val="both"/>
        <w:rPr>
          <w:rFonts w:ascii="Times New Roman" w:hAnsi="Times New Roman"/>
          <w:noProof/>
          <w:sz w:val="24"/>
        </w:rPr>
      </w:pPr>
    </w:p>
    <w:p w14:paraId="375A811E" w14:textId="77777777" w:rsidR="004D7DE6" w:rsidRPr="004D7DE6" w:rsidRDefault="004D7DE6" w:rsidP="004D7DE6">
      <w:pPr>
        <w:pStyle w:val="BodyText"/>
        <w:jc w:val="both"/>
        <w:rPr>
          <w:rFonts w:ascii="Times New Roman" w:hAnsi="Times New Roman"/>
          <w:noProof/>
          <w:sz w:val="24"/>
        </w:rPr>
      </w:pPr>
    </w:p>
    <w:p w14:paraId="26183BBC" w14:textId="77777777" w:rsidR="004D7DE6" w:rsidRPr="004D7DE6" w:rsidRDefault="004D7DE6" w:rsidP="004D7DE6">
      <w:pPr>
        <w:pStyle w:val="BodyText"/>
        <w:jc w:val="both"/>
        <w:rPr>
          <w:rFonts w:ascii="Times New Roman" w:hAnsi="Times New Roman"/>
          <w:noProof/>
          <w:sz w:val="24"/>
        </w:rPr>
      </w:pPr>
    </w:p>
    <w:p w14:paraId="0AB85AFD" w14:textId="77777777" w:rsidR="004D7DE6" w:rsidRPr="004D7DE6" w:rsidRDefault="004D7DE6" w:rsidP="004D7DE6">
      <w:pPr>
        <w:pStyle w:val="BodyText"/>
        <w:jc w:val="both"/>
        <w:rPr>
          <w:rFonts w:ascii="Times New Roman" w:hAnsi="Times New Roman"/>
          <w:noProof/>
          <w:sz w:val="24"/>
        </w:rPr>
      </w:pPr>
    </w:p>
    <w:p w14:paraId="5D875E85" w14:textId="77777777" w:rsidR="004D7DE6" w:rsidRPr="004D7DE6" w:rsidRDefault="004D7DE6" w:rsidP="004D7DE6">
      <w:pPr>
        <w:pStyle w:val="BodyText"/>
        <w:jc w:val="both"/>
        <w:rPr>
          <w:rFonts w:ascii="Times New Roman" w:hAnsi="Times New Roman"/>
          <w:noProof/>
          <w:sz w:val="24"/>
        </w:rPr>
      </w:pPr>
    </w:p>
    <w:p w14:paraId="2D420084" w14:textId="77777777" w:rsidR="004D7DE6" w:rsidRPr="004D7DE6" w:rsidRDefault="004D7DE6" w:rsidP="004D7DE6">
      <w:pPr>
        <w:pStyle w:val="BodyText"/>
        <w:jc w:val="both"/>
        <w:rPr>
          <w:rFonts w:ascii="Times New Roman" w:hAnsi="Times New Roman"/>
          <w:noProof/>
          <w:sz w:val="24"/>
        </w:rPr>
      </w:pPr>
    </w:p>
    <w:p w14:paraId="581A8684" w14:textId="77777777" w:rsidR="004D7DE6" w:rsidRPr="004D7DE6" w:rsidRDefault="004D7DE6" w:rsidP="004D7DE6">
      <w:pPr>
        <w:pStyle w:val="BodyText"/>
        <w:jc w:val="both"/>
        <w:rPr>
          <w:rFonts w:ascii="Times New Roman" w:hAnsi="Times New Roman"/>
          <w:noProof/>
          <w:sz w:val="24"/>
        </w:rPr>
      </w:pPr>
    </w:p>
    <w:p w14:paraId="0CA7697F" w14:textId="77777777" w:rsidR="004D7DE6" w:rsidRPr="004D7DE6" w:rsidRDefault="004D7DE6" w:rsidP="004D7DE6">
      <w:pPr>
        <w:pStyle w:val="BodyText"/>
        <w:jc w:val="both"/>
        <w:rPr>
          <w:rFonts w:ascii="Times New Roman" w:hAnsi="Times New Roman"/>
          <w:noProof/>
          <w:sz w:val="24"/>
        </w:rPr>
      </w:pPr>
    </w:p>
    <w:p w14:paraId="0D86E410" w14:textId="77777777" w:rsidR="004D7DE6" w:rsidRPr="004D7DE6" w:rsidRDefault="004D7DE6" w:rsidP="004D7DE6">
      <w:pPr>
        <w:rPr>
          <w:rFonts w:ascii="Times New Roman" w:hAnsi="Times New Roman"/>
          <w:noProof/>
          <w:sz w:val="24"/>
        </w:rPr>
      </w:pPr>
      <w:r>
        <w:br w:type="page"/>
      </w:r>
    </w:p>
    <w:p w14:paraId="0AE7F2C3" w14:textId="77777777" w:rsidR="004D7DE6" w:rsidRPr="004D7DE6" w:rsidRDefault="004D7DE6" w:rsidP="004D7DE6">
      <w:pPr>
        <w:pStyle w:val="TOC2"/>
        <w:spacing w:before="0"/>
        <w:ind w:left="0" w:right="0" w:firstLine="0"/>
        <w:jc w:val="center"/>
        <w:rPr>
          <w:rFonts w:ascii="Times New Roman" w:hAnsi="Times New Roman"/>
          <w:noProof/>
          <w:color w:val="212E63"/>
          <w:sz w:val="24"/>
        </w:rPr>
      </w:pPr>
      <w:bookmarkStart w:id="0" w:name="_bookmark0"/>
      <w:bookmarkEnd w:id="0"/>
      <w:r>
        <w:rPr>
          <w:rFonts w:ascii="Times New Roman" w:hAnsi="Times New Roman"/>
          <w:color w:val="212E63"/>
          <w:sz w:val="24"/>
        </w:rPr>
        <w:lastRenderedPageBreak/>
        <w:t>SATURA RĀDĪTĀJS</w:t>
      </w:r>
      <w:bookmarkStart w:id="1" w:name="Table_of_contents"/>
      <w:bookmarkEnd w:id="1"/>
    </w:p>
    <w:p w14:paraId="7F58D81C" w14:textId="77777777" w:rsidR="004D7DE6" w:rsidRPr="004D7DE6" w:rsidRDefault="004D7DE6" w:rsidP="004D7DE6">
      <w:pPr>
        <w:pStyle w:val="TOC2"/>
        <w:spacing w:before="0"/>
        <w:ind w:left="0" w:right="0" w:firstLine="0"/>
        <w:jc w:val="both"/>
        <w:rPr>
          <w:rFonts w:ascii="Times New Roman" w:hAnsi="Times New Roman"/>
          <w:noProof/>
          <w:sz w:val="24"/>
        </w:rPr>
      </w:pPr>
    </w:p>
    <w:p w14:paraId="7A471D27" w14:textId="219292E2" w:rsidR="00675935" w:rsidRDefault="00675935" w:rsidP="00C32768">
      <w:pPr>
        <w:pStyle w:val="TOC1"/>
        <w:tabs>
          <w:tab w:val="left" w:leader="dot" w:pos="8931"/>
        </w:tabs>
        <w:spacing w:before="0"/>
        <w:ind w:right="0"/>
        <w:jc w:val="both"/>
        <w:rPr>
          <w:rFonts w:ascii="Times New Roman" w:hAnsi="Times New Roman"/>
          <w:noProof/>
          <w:sz w:val="24"/>
        </w:rPr>
      </w:pPr>
      <w:r>
        <w:rPr>
          <w:rFonts w:ascii="Times New Roman" w:hAnsi="Times New Roman"/>
          <w:noProof/>
          <w:sz w:val="24"/>
        </w:rPr>
        <w:t>Satura rādītājs</w:t>
      </w:r>
      <w:r w:rsidR="0067394A">
        <w:rPr>
          <w:rFonts w:ascii="Times New Roman" w:hAnsi="Times New Roman"/>
          <w:noProof/>
          <w:sz w:val="24"/>
        </w:rPr>
        <w:tab/>
        <w:t>2</w:t>
      </w:r>
    </w:p>
    <w:p w14:paraId="669E95B4" w14:textId="77777777" w:rsidR="00675935" w:rsidRDefault="00675935" w:rsidP="004D7DE6">
      <w:pPr>
        <w:pStyle w:val="TOC2"/>
        <w:spacing w:before="0"/>
        <w:ind w:left="0" w:right="0" w:firstLine="0"/>
        <w:jc w:val="both"/>
        <w:rPr>
          <w:rFonts w:ascii="Times New Roman" w:hAnsi="Times New Roman"/>
          <w:i/>
          <w:iCs/>
          <w:sz w:val="24"/>
        </w:rPr>
      </w:pPr>
    </w:p>
    <w:p w14:paraId="3AD78CFF" w14:textId="3462B233" w:rsidR="004D7DE6" w:rsidRDefault="004D7DE6" w:rsidP="00C32768">
      <w:pPr>
        <w:pStyle w:val="TOC2"/>
        <w:tabs>
          <w:tab w:val="left" w:leader="dot" w:pos="8931"/>
        </w:tabs>
        <w:spacing w:before="0"/>
        <w:ind w:left="0" w:right="0" w:firstLine="0"/>
        <w:jc w:val="both"/>
        <w:rPr>
          <w:rFonts w:ascii="Times New Roman" w:hAnsi="Times New Roman"/>
          <w:sz w:val="24"/>
        </w:rPr>
      </w:pP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 xml:space="preserve"> par Komisijas Deleģēto regulu (ES) 2022/1645</w:t>
      </w:r>
      <w:r>
        <w:t xml:space="preserve"> </w:t>
      </w:r>
      <w:r>
        <w:rPr>
          <w:rFonts w:ascii="Times New Roman" w:hAnsi="Times New Roman"/>
          <w:sz w:val="24"/>
        </w:rPr>
        <w:t>un Komisijas Īstenošanas regulu (ES) 2023/203</w:t>
      </w:r>
      <w:r w:rsidR="0067394A">
        <w:rPr>
          <w:rFonts w:ascii="Times New Roman" w:hAnsi="Times New Roman"/>
          <w:sz w:val="24"/>
        </w:rPr>
        <w:tab/>
        <w:t>3</w:t>
      </w:r>
    </w:p>
    <w:p w14:paraId="7B14E456" w14:textId="77777777" w:rsidR="00C32768" w:rsidRDefault="00C32768" w:rsidP="00C32768">
      <w:pPr>
        <w:pStyle w:val="TOC2"/>
        <w:tabs>
          <w:tab w:val="left" w:leader="dot" w:pos="8647"/>
        </w:tabs>
        <w:spacing w:before="0"/>
        <w:ind w:left="0" w:right="0" w:firstLine="0"/>
        <w:jc w:val="both"/>
        <w:rPr>
          <w:rFonts w:ascii="Times New Roman" w:hAnsi="Times New Roman"/>
          <w:noProof/>
          <w:sz w:val="24"/>
        </w:rPr>
      </w:pPr>
    </w:p>
    <w:p w14:paraId="165B8FC3" w14:textId="3568A831" w:rsidR="004602C7" w:rsidRDefault="004602C7" w:rsidP="00C32768">
      <w:pPr>
        <w:pStyle w:val="Heading1"/>
        <w:tabs>
          <w:tab w:val="left" w:leader="dot" w:pos="8931"/>
        </w:tabs>
        <w:spacing w:before="0"/>
        <w:ind w:left="142" w:right="0"/>
        <w:jc w:val="both"/>
        <w:rPr>
          <w:rFonts w:ascii="Times New Roman" w:hAnsi="Times New Roman"/>
          <w:noProof/>
          <w:sz w:val="24"/>
        </w:rPr>
      </w:pPr>
      <w:r>
        <w:rPr>
          <w:rFonts w:ascii="Times New Roman" w:hAnsi="Times New Roman"/>
          <w:noProof/>
          <w:sz w:val="24"/>
        </w:rPr>
        <w:t>GM1 par 1. pantu “Priekšmets”</w:t>
      </w:r>
      <w:r w:rsidR="0067394A">
        <w:rPr>
          <w:rFonts w:ascii="Times New Roman" w:hAnsi="Times New Roman"/>
          <w:noProof/>
          <w:sz w:val="24"/>
        </w:rPr>
        <w:tab/>
        <w:t>3</w:t>
      </w:r>
    </w:p>
    <w:p w14:paraId="734F0C0F" w14:textId="77777777" w:rsidR="00C32768" w:rsidRDefault="00C32768" w:rsidP="00C32768">
      <w:pPr>
        <w:pStyle w:val="Heading1"/>
        <w:tabs>
          <w:tab w:val="left" w:leader="dot" w:pos="8505"/>
        </w:tabs>
        <w:spacing w:before="0"/>
        <w:ind w:left="142" w:right="0"/>
        <w:jc w:val="both"/>
        <w:rPr>
          <w:rFonts w:ascii="Times New Roman" w:hAnsi="Times New Roman"/>
          <w:noProof/>
          <w:sz w:val="24"/>
        </w:rPr>
      </w:pPr>
    </w:p>
    <w:p w14:paraId="22C19129" w14:textId="217EDF06" w:rsidR="0067394A" w:rsidRDefault="004602C7" w:rsidP="00C32768">
      <w:pPr>
        <w:pStyle w:val="Heading1"/>
        <w:tabs>
          <w:tab w:val="left" w:leader="dot" w:pos="8931"/>
        </w:tabs>
        <w:spacing w:before="0"/>
        <w:ind w:left="142" w:right="0"/>
        <w:jc w:val="both"/>
        <w:rPr>
          <w:rFonts w:ascii="Times New Roman" w:hAnsi="Times New Roman"/>
          <w:noProof/>
          <w:sz w:val="24"/>
        </w:rPr>
      </w:pPr>
      <w:r>
        <w:rPr>
          <w:rFonts w:ascii="Times New Roman" w:hAnsi="Times New Roman"/>
          <w:noProof/>
          <w:sz w:val="24"/>
        </w:rPr>
        <w:t>GM1 par 3. pantu “Definīcijas”</w:t>
      </w:r>
      <w:r w:rsidR="0067394A" w:rsidRPr="0067394A">
        <w:rPr>
          <w:rFonts w:ascii="Times New Roman" w:hAnsi="Times New Roman"/>
          <w:noProof/>
          <w:sz w:val="24"/>
        </w:rPr>
        <w:t xml:space="preserve"> </w:t>
      </w:r>
      <w:r w:rsidR="0067394A">
        <w:rPr>
          <w:rFonts w:ascii="Times New Roman" w:hAnsi="Times New Roman"/>
          <w:noProof/>
          <w:sz w:val="24"/>
        </w:rPr>
        <w:tab/>
        <w:t>3</w:t>
      </w:r>
    </w:p>
    <w:p w14:paraId="0B02AA65" w14:textId="76EAA49D" w:rsidR="004602C7" w:rsidRPr="004D7DE6" w:rsidRDefault="004602C7" w:rsidP="004D7DE6">
      <w:pPr>
        <w:pStyle w:val="Heading1"/>
        <w:spacing w:before="0"/>
        <w:ind w:left="0" w:right="0"/>
        <w:jc w:val="both"/>
        <w:rPr>
          <w:rFonts w:ascii="Times New Roman" w:hAnsi="Times New Roman"/>
          <w:noProof/>
          <w:sz w:val="24"/>
        </w:rPr>
      </w:pPr>
    </w:p>
    <w:p w14:paraId="5C56E276" w14:textId="1C9E0BC1" w:rsidR="004D7DE6" w:rsidRPr="004D7DE6" w:rsidRDefault="004D7DE6" w:rsidP="004D7DE6">
      <w:pPr>
        <w:rPr>
          <w:rFonts w:ascii="Times New Roman" w:hAnsi="Times New Roman"/>
          <w:noProof/>
          <w:sz w:val="24"/>
        </w:rPr>
      </w:pPr>
      <w:r>
        <w:br w:type="page"/>
      </w:r>
    </w:p>
    <w:p w14:paraId="0C3AC03B" w14:textId="77777777" w:rsidR="004D7DE6" w:rsidRPr="004D7DE6" w:rsidRDefault="004D7DE6" w:rsidP="004D7DE6">
      <w:pPr>
        <w:jc w:val="center"/>
        <w:rPr>
          <w:rFonts w:ascii="Times New Roman" w:hAnsi="Times New Roman"/>
          <w:b/>
          <w:noProof/>
          <w:color w:val="212E63"/>
          <w:sz w:val="28"/>
          <w:szCs w:val="24"/>
        </w:rPr>
      </w:pPr>
      <w:bookmarkStart w:id="2" w:name="AMC_and_GM_to_the_Articles_of_Commission"/>
      <w:bookmarkStart w:id="3" w:name="_bookmark1"/>
      <w:bookmarkEnd w:id="2"/>
      <w:bookmarkEnd w:id="3"/>
      <w:r>
        <w:rPr>
          <w:rFonts w:ascii="Times New Roman" w:hAnsi="Times New Roman"/>
          <w:b/>
          <w:i/>
          <w:iCs/>
          <w:color w:val="212E63"/>
          <w:sz w:val="28"/>
        </w:rPr>
        <w:lastRenderedPageBreak/>
        <w:t>AMC</w:t>
      </w:r>
      <w:r>
        <w:rPr>
          <w:rFonts w:ascii="Times New Roman" w:hAnsi="Times New Roman"/>
          <w:b/>
          <w:color w:val="212E63"/>
          <w:sz w:val="28"/>
        </w:rPr>
        <w:t xml:space="preserve"> UN </w:t>
      </w:r>
      <w:r>
        <w:rPr>
          <w:rFonts w:ascii="Times New Roman" w:hAnsi="Times New Roman"/>
          <w:b/>
          <w:i/>
          <w:iCs/>
          <w:color w:val="212E63"/>
          <w:sz w:val="28"/>
        </w:rPr>
        <w:t>GM</w:t>
      </w:r>
      <w:r>
        <w:rPr>
          <w:rFonts w:ascii="Times New Roman" w:hAnsi="Times New Roman"/>
          <w:b/>
          <w:color w:val="212E63"/>
          <w:sz w:val="28"/>
        </w:rPr>
        <w:t xml:space="preserve"> PAR KOMISIJAS DELEĢĒTĀS REGULAS (ES) 2022/1645 UN KOMISIJAS ĪSTENOŠANAS REGULAS (ES) 2023/203 PANTIEM</w:t>
      </w:r>
    </w:p>
    <w:p w14:paraId="44ED5879" w14:textId="77777777" w:rsidR="004D7DE6" w:rsidRPr="004D7DE6" w:rsidRDefault="004D7DE6" w:rsidP="004D7DE6">
      <w:pPr>
        <w:jc w:val="both"/>
        <w:rPr>
          <w:rFonts w:ascii="Times New Roman" w:hAnsi="Times New Roman"/>
          <w:b/>
          <w:noProof/>
          <w:color w:val="212E63"/>
          <w:sz w:val="24"/>
        </w:rPr>
      </w:pPr>
    </w:p>
    <w:p w14:paraId="6067E6E8" w14:textId="77777777" w:rsidR="004D7DE6" w:rsidRPr="004D7DE6" w:rsidRDefault="004D7DE6" w:rsidP="004D7DE6">
      <w:pPr>
        <w:jc w:val="both"/>
        <w:rPr>
          <w:rFonts w:ascii="Times New Roman" w:hAnsi="Times New Roman"/>
          <w:b/>
          <w:noProof/>
          <w:sz w:val="24"/>
        </w:rPr>
      </w:pPr>
    </w:p>
    <w:p w14:paraId="0D124107" w14:textId="77777777" w:rsidR="004D7DE6" w:rsidRPr="004D7DE6" w:rsidRDefault="004D7DE6" w:rsidP="004D7DE6">
      <w:pPr>
        <w:pStyle w:val="Heading2"/>
        <w:tabs>
          <w:tab w:val="left" w:pos="9176"/>
        </w:tabs>
        <w:spacing w:before="0"/>
        <w:ind w:left="0"/>
        <w:rPr>
          <w:rFonts w:ascii="Times New Roman" w:hAnsi="Times New Roman"/>
          <w:noProof/>
          <w:color w:val="FFFFFF"/>
          <w:sz w:val="24"/>
          <w:shd w:val="clear" w:color="auto" w:fill="00CC66"/>
        </w:rPr>
      </w:pPr>
      <w:bookmarkStart w:id="4" w:name="GM1_Article_1_—_Subject_matter"/>
      <w:bookmarkStart w:id="5" w:name="_bookmark2"/>
      <w:bookmarkEnd w:id="4"/>
      <w:bookmarkEnd w:id="5"/>
      <w:r>
        <w:rPr>
          <w:rFonts w:ascii="Times New Roman" w:hAnsi="Times New Roman"/>
          <w:color w:val="FFFFFF"/>
          <w:sz w:val="24"/>
          <w:shd w:val="clear" w:color="auto" w:fill="00CC66"/>
        </w:rPr>
        <w:t>GM1 par 1. pantu “Priekšmets”</w:t>
      </w:r>
    </w:p>
    <w:p w14:paraId="10556EDB" w14:textId="77777777" w:rsidR="004D7DE6" w:rsidRPr="004D7DE6" w:rsidRDefault="004D7DE6" w:rsidP="004D7DE6">
      <w:pPr>
        <w:pStyle w:val="Heading2"/>
        <w:tabs>
          <w:tab w:val="left" w:pos="9176"/>
        </w:tabs>
        <w:spacing w:before="0"/>
        <w:ind w:left="0"/>
        <w:rPr>
          <w:rFonts w:ascii="Times New Roman" w:hAnsi="Times New Roman"/>
          <w:noProof/>
          <w:color w:val="FFFFFF"/>
          <w:sz w:val="24"/>
          <w:shd w:val="clear" w:color="auto" w:fill="00CC66"/>
        </w:rPr>
      </w:pPr>
    </w:p>
    <w:p w14:paraId="388A7BB6" w14:textId="77777777" w:rsidR="004D7DE6" w:rsidRPr="004D7DE6" w:rsidRDefault="004D7DE6" w:rsidP="004D7DE6">
      <w:pPr>
        <w:jc w:val="both"/>
        <w:rPr>
          <w:rFonts w:ascii="Times New Roman" w:hAnsi="Times New Roman"/>
          <w:noProof/>
          <w:sz w:val="24"/>
        </w:rPr>
      </w:pPr>
      <w:r>
        <w:rPr>
          <w:rFonts w:ascii="Times New Roman" w:hAnsi="Times New Roman"/>
          <w:sz w:val="24"/>
        </w:rPr>
        <w:t>Veicot pasākumus saskaņā ar šo regulu, attiecīgās institūcijas – neatkarīgi no to lieluma – tiek mudinātas nodrošināt, ka veiktie pasākumi ir samērīgi ar to darbības veidu un drošuma risku.</w:t>
      </w:r>
    </w:p>
    <w:p w14:paraId="33B8B8C7" w14:textId="77777777" w:rsidR="004D7DE6" w:rsidRPr="004D7DE6" w:rsidRDefault="004D7DE6" w:rsidP="004D7DE6">
      <w:pPr>
        <w:jc w:val="both"/>
        <w:rPr>
          <w:rFonts w:ascii="Times New Roman" w:hAnsi="Times New Roman"/>
          <w:noProof/>
          <w:sz w:val="24"/>
        </w:rPr>
      </w:pPr>
    </w:p>
    <w:p w14:paraId="509584F5" w14:textId="77777777" w:rsidR="004D7DE6" w:rsidRPr="004D7DE6" w:rsidRDefault="004D7DE6" w:rsidP="004D7DE6">
      <w:pPr>
        <w:pStyle w:val="Heading2"/>
        <w:tabs>
          <w:tab w:val="left" w:pos="9176"/>
        </w:tabs>
        <w:spacing w:before="0"/>
        <w:ind w:left="0"/>
        <w:rPr>
          <w:rFonts w:ascii="Times New Roman" w:hAnsi="Times New Roman"/>
          <w:noProof/>
          <w:color w:val="FFFFFF"/>
          <w:sz w:val="24"/>
          <w:shd w:val="clear" w:color="auto" w:fill="00CC66"/>
        </w:rPr>
      </w:pPr>
      <w:bookmarkStart w:id="6" w:name="GM1_Article_3_—_Definitions"/>
      <w:bookmarkStart w:id="7" w:name="_bookmark3"/>
      <w:bookmarkEnd w:id="6"/>
      <w:bookmarkEnd w:id="7"/>
      <w:r>
        <w:rPr>
          <w:rFonts w:ascii="Times New Roman" w:hAnsi="Times New Roman"/>
          <w:color w:val="FFFFFF"/>
          <w:sz w:val="24"/>
          <w:shd w:val="clear" w:color="auto" w:fill="00CC66"/>
        </w:rPr>
        <w:t>GM1 par 3. pantu “Definīcijas”</w:t>
      </w:r>
    </w:p>
    <w:p w14:paraId="131A7C9B" w14:textId="77777777" w:rsidR="004D7DE6" w:rsidRPr="004D7DE6" w:rsidRDefault="004D7DE6" w:rsidP="004D7DE6">
      <w:pPr>
        <w:pStyle w:val="Heading2"/>
        <w:tabs>
          <w:tab w:val="left" w:pos="9176"/>
        </w:tabs>
        <w:spacing w:before="0"/>
        <w:ind w:left="0"/>
        <w:rPr>
          <w:rFonts w:ascii="Times New Roman" w:hAnsi="Times New Roman"/>
          <w:noProof/>
          <w:color w:val="FFFFFF"/>
          <w:sz w:val="24"/>
          <w:shd w:val="clear" w:color="auto" w:fill="00CC66"/>
        </w:rPr>
      </w:pPr>
    </w:p>
    <w:p w14:paraId="7A2AF25D" w14:textId="77777777" w:rsidR="004D7DE6" w:rsidRPr="004D7DE6" w:rsidRDefault="004D7DE6" w:rsidP="004D7DE6">
      <w:pPr>
        <w:jc w:val="both"/>
        <w:rPr>
          <w:rFonts w:ascii="Times New Roman" w:hAnsi="Times New Roman"/>
          <w:noProof/>
          <w:sz w:val="24"/>
        </w:rPr>
      </w:pPr>
      <w:r>
        <w:rPr>
          <w:rFonts w:ascii="Times New Roman" w:hAnsi="Times New Roman"/>
          <w:sz w:val="24"/>
        </w:rPr>
        <w:t xml:space="preserve">Lai nodrošinātu kopīgu izpratni, turpmāk ir sniegts to terminu apraksts, kas izmantoti </w:t>
      </w: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 xml:space="preserve"> par Komisijas Deleģētās regulas (ES) 2022/1645 IS.D.OR daļu un </w:t>
      </w: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 xml:space="preserve"> par Komisijas Īstenošanas regulas (ES) 2023/203 IS.AR daļu un IS.I.OR daļu.</w:t>
      </w:r>
    </w:p>
    <w:p w14:paraId="5CA0D27E" w14:textId="77777777" w:rsidR="004D7DE6" w:rsidRPr="004D7DE6" w:rsidRDefault="004D7DE6" w:rsidP="004D7DE6">
      <w:pPr>
        <w:pStyle w:val="BodyText"/>
        <w:jc w:val="both"/>
        <w:rPr>
          <w:rFonts w:ascii="Times New Roman" w:hAnsi="Times New Roman"/>
          <w:noProof/>
          <w:sz w:val="24"/>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333"/>
        <w:gridCol w:w="6573"/>
      </w:tblGrid>
      <w:tr w:rsidR="00246C8A" w:rsidRPr="004D7DE6" w14:paraId="42DC5601" w14:textId="77777777" w:rsidTr="00246C8A">
        <w:trPr>
          <w:trHeight w:val="547"/>
        </w:trPr>
        <w:tc>
          <w:tcPr>
            <w:tcW w:w="1310" w:type="pct"/>
          </w:tcPr>
          <w:p w14:paraId="20B81D97" w14:textId="61CAFE5A" w:rsidR="00246C8A" w:rsidRPr="004D7DE6" w:rsidRDefault="00246C8A" w:rsidP="00246C8A">
            <w:pPr>
              <w:pStyle w:val="TableParagraph"/>
              <w:ind w:left="0"/>
              <w:jc w:val="both"/>
              <w:rPr>
                <w:rFonts w:ascii="Times New Roman" w:hAnsi="Times New Roman"/>
                <w:b/>
                <w:noProof/>
                <w:sz w:val="24"/>
              </w:rPr>
            </w:pPr>
            <w:r>
              <w:rPr>
                <w:rFonts w:ascii="Times New Roman" w:hAnsi="Times New Roman"/>
                <w:b/>
                <w:sz w:val="24"/>
              </w:rPr>
              <w:t>Apdraudējums</w:t>
            </w:r>
          </w:p>
        </w:tc>
        <w:tc>
          <w:tcPr>
            <w:tcW w:w="3690" w:type="pct"/>
          </w:tcPr>
          <w:p w14:paraId="79621569" w14:textId="41470254" w:rsidR="00246C8A" w:rsidRPr="004D7DE6" w:rsidRDefault="00246C8A" w:rsidP="00246C8A">
            <w:pPr>
              <w:pStyle w:val="TableParagraph"/>
              <w:ind w:left="0"/>
              <w:jc w:val="both"/>
              <w:rPr>
                <w:rFonts w:ascii="Times New Roman" w:hAnsi="Times New Roman"/>
                <w:i/>
                <w:noProof/>
                <w:sz w:val="24"/>
              </w:rPr>
            </w:pPr>
            <w:r>
              <w:rPr>
                <w:rFonts w:ascii="Times New Roman" w:hAnsi="Times New Roman"/>
                <w:sz w:val="24"/>
              </w:rPr>
              <w:t xml:space="preserve">Stāvoklis vai objekts, kas potenciāli var izraisīt vai veicināt lidaparāta incidentu vai </w:t>
            </w:r>
            <w:r w:rsidR="00A36E01">
              <w:rPr>
                <w:rFonts w:ascii="Times New Roman" w:hAnsi="Times New Roman"/>
                <w:sz w:val="24"/>
              </w:rPr>
              <w:t>nelaimes gadījumu</w:t>
            </w:r>
            <w:r>
              <w:rPr>
                <w:rFonts w:ascii="Times New Roman" w:hAnsi="Times New Roman"/>
                <w:sz w:val="24"/>
              </w:rPr>
              <w:t>.</w:t>
            </w:r>
          </w:p>
        </w:tc>
      </w:tr>
      <w:tr w:rsidR="00246C8A" w:rsidRPr="004D7DE6" w14:paraId="413276FC" w14:textId="77777777" w:rsidTr="00246C8A">
        <w:trPr>
          <w:trHeight w:val="547"/>
        </w:trPr>
        <w:tc>
          <w:tcPr>
            <w:tcW w:w="1310" w:type="pct"/>
          </w:tcPr>
          <w:p w14:paraId="11A8D80B" w14:textId="61589B2E" w:rsidR="00246C8A" w:rsidRDefault="00246C8A" w:rsidP="00246C8A">
            <w:pPr>
              <w:pStyle w:val="TableParagraph"/>
              <w:ind w:left="0"/>
              <w:jc w:val="both"/>
              <w:rPr>
                <w:rFonts w:ascii="Times New Roman" w:hAnsi="Times New Roman"/>
                <w:b/>
                <w:sz w:val="24"/>
              </w:rPr>
            </w:pPr>
            <w:r>
              <w:rPr>
                <w:rFonts w:ascii="Times New Roman" w:hAnsi="Times New Roman"/>
                <w:b/>
                <w:sz w:val="24"/>
              </w:rPr>
              <w:t>Apzināta neatļauta elektroniskā mijiedarbība</w:t>
            </w:r>
          </w:p>
        </w:tc>
        <w:tc>
          <w:tcPr>
            <w:tcW w:w="3690" w:type="pct"/>
          </w:tcPr>
          <w:p w14:paraId="1574E99A" w14:textId="1F462C6C" w:rsidR="00246C8A" w:rsidRDefault="00246C8A" w:rsidP="00246C8A">
            <w:pPr>
              <w:pStyle w:val="TableParagraph"/>
              <w:ind w:left="0"/>
              <w:jc w:val="both"/>
              <w:rPr>
                <w:rFonts w:ascii="Times New Roman" w:hAnsi="Times New Roman"/>
                <w:sz w:val="24"/>
              </w:rPr>
            </w:pPr>
            <w:r>
              <w:rPr>
                <w:rFonts w:ascii="Times New Roman" w:hAnsi="Times New Roman"/>
                <w:sz w:val="24"/>
              </w:rPr>
              <w:t>Apzināta elektronisku vai ar elektroniskajiem sakariem saistītu darbību veikšana (piemēram, piekļuve datorsistēmām, tīkliem vai datiem vai to pārveidošana) bez atbilstoša pilnvarojuma vai atļaujas un ar nolūku izpaust sensitīvu informāciju, pārveidot datus, traucēt normālu darbību vai liegt piekļuvi likumīgiem lietotājiem.</w:t>
            </w:r>
          </w:p>
        </w:tc>
      </w:tr>
      <w:tr w:rsidR="00246C8A" w:rsidRPr="004D7DE6" w14:paraId="1E9788B9" w14:textId="77777777" w:rsidTr="00246C8A">
        <w:trPr>
          <w:trHeight w:val="547"/>
        </w:trPr>
        <w:tc>
          <w:tcPr>
            <w:tcW w:w="1310" w:type="pct"/>
          </w:tcPr>
          <w:p w14:paraId="39D1F173" w14:textId="78952F99" w:rsidR="00246C8A" w:rsidRDefault="00246C8A" w:rsidP="00246C8A">
            <w:pPr>
              <w:pStyle w:val="TableParagraph"/>
              <w:ind w:left="0"/>
              <w:jc w:val="both"/>
              <w:rPr>
                <w:rFonts w:ascii="Times New Roman" w:hAnsi="Times New Roman"/>
                <w:b/>
                <w:sz w:val="24"/>
              </w:rPr>
            </w:pPr>
            <w:r>
              <w:rPr>
                <w:rFonts w:ascii="Times New Roman" w:hAnsi="Times New Roman"/>
                <w:b/>
                <w:sz w:val="24"/>
              </w:rPr>
              <w:t>Drošums</w:t>
            </w:r>
          </w:p>
        </w:tc>
        <w:tc>
          <w:tcPr>
            <w:tcW w:w="3690" w:type="pct"/>
          </w:tcPr>
          <w:p w14:paraId="4628998D" w14:textId="0E5006DB" w:rsidR="00246C8A" w:rsidRDefault="00246C8A" w:rsidP="00246C8A">
            <w:pPr>
              <w:pStyle w:val="TableParagraph"/>
              <w:ind w:left="0"/>
              <w:jc w:val="both"/>
              <w:rPr>
                <w:rFonts w:ascii="Times New Roman" w:hAnsi="Times New Roman"/>
                <w:sz w:val="24"/>
              </w:rPr>
            </w:pPr>
            <w:r>
              <w:rPr>
                <w:rFonts w:ascii="Times New Roman" w:hAnsi="Times New Roman"/>
                <w:sz w:val="24"/>
              </w:rPr>
              <w:t xml:space="preserve">Stāvoklis, kurā ar aviācijas darbībām saistīti riski, kas attiecas uz lidaparāta ekspluatāciju vai tieši nodrošina šādu ekspluatāciju, ir samazināti un kontrolēti pieņemamā līmenī, kā noteikts </w:t>
            </w:r>
            <w:r>
              <w:rPr>
                <w:rFonts w:ascii="Times New Roman" w:hAnsi="Times New Roman"/>
                <w:i/>
                <w:iCs/>
                <w:sz w:val="24"/>
              </w:rPr>
              <w:t>ICAO</w:t>
            </w:r>
            <w:r>
              <w:rPr>
                <w:rFonts w:ascii="Times New Roman" w:hAnsi="Times New Roman"/>
                <w:sz w:val="24"/>
              </w:rPr>
              <w:t xml:space="preserve"> 19. pielikumā.</w:t>
            </w:r>
          </w:p>
        </w:tc>
      </w:tr>
      <w:tr w:rsidR="00246C8A" w:rsidRPr="004D7DE6" w14:paraId="128E3339" w14:textId="77777777" w:rsidTr="00246C8A">
        <w:trPr>
          <w:trHeight w:val="547"/>
        </w:trPr>
        <w:tc>
          <w:tcPr>
            <w:tcW w:w="1310" w:type="pct"/>
          </w:tcPr>
          <w:p w14:paraId="5924504D" w14:textId="2F23C638" w:rsidR="00246C8A" w:rsidRDefault="00246C8A" w:rsidP="00246C8A">
            <w:pPr>
              <w:pStyle w:val="TableParagraph"/>
              <w:ind w:left="0"/>
              <w:jc w:val="both"/>
              <w:rPr>
                <w:rFonts w:ascii="Times New Roman" w:hAnsi="Times New Roman"/>
                <w:b/>
                <w:sz w:val="24"/>
              </w:rPr>
            </w:pPr>
            <w:r>
              <w:rPr>
                <w:rFonts w:ascii="Times New Roman" w:hAnsi="Times New Roman"/>
                <w:b/>
                <w:sz w:val="24"/>
              </w:rPr>
              <w:t>Drošuma risks</w:t>
            </w:r>
          </w:p>
        </w:tc>
        <w:tc>
          <w:tcPr>
            <w:tcW w:w="3690" w:type="pct"/>
          </w:tcPr>
          <w:p w14:paraId="0A7810D6" w14:textId="77777777" w:rsidR="00246C8A" w:rsidRPr="004D7DE6" w:rsidRDefault="00246C8A" w:rsidP="00246C8A">
            <w:pPr>
              <w:pStyle w:val="TableParagraph"/>
              <w:ind w:left="0"/>
              <w:jc w:val="both"/>
              <w:rPr>
                <w:rFonts w:ascii="Times New Roman" w:hAnsi="Times New Roman"/>
                <w:noProof/>
                <w:sz w:val="24"/>
              </w:rPr>
            </w:pPr>
            <w:r>
              <w:rPr>
                <w:rFonts w:ascii="Times New Roman" w:hAnsi="Times New Roman"/>
                <w:sz w:val="24"/>
              </w:rPr>
              <w:t>Apdraudējuma seku vai iznākuma prognozētā iespējamība un smaguma pakāpe.</w:t>
            </w:r>
          </w:p>
          <w:p w14:paraId="3B2AA7F3" w14:textId="77777777" w:rsidR="00246C8A" w:rsidRPr="004D7DE6" w:rsidRDefault="00246C8A" w:rsidP="00246C8A">
            <w:pPr>
              <w:pStyle w:val="TableParagraph"/>
              <w:ind w:left="0"/>
              <w:jc w:val="both"/>
              <w:rPr>
                <w:rFonts w:ascii="Times New Roman" w:hAnsi="Times New Roman"/>
                <w:noProof/>
                <w:sz w:val="24"/>
              </w:rPr>
            </w:pPr>
          </w:p>
          <w:p w14:paraId="61299035" w14:textId="6E79F6AE" w:rsidR="00246C8A" w:rsidRPr="008C70DD" w:rsidRDefault="00246C8A" w:rsidP="00246C8A">
            <w:pPr>
              <w:pStyle w:val="TableParagraph"/>
              <w:ind w:left="0"/>
              <w:jc w:val="both"/>
              <w:rPr>
                <w:rFonts w:ascii="Times New Roman" w:hAnsi="Times New Roman"/>
                <w:i/>
                <w:iCs/>
                <w:sz w:val="24"/>
              </w:rPr>
            </w:pPr>
            <w:r w:rsidRPr="008C70DD">
              <w:rPr>
                <w:rFonts w:ascii="Times New Roman" w:hAnsi="Times New Roman"/>
                <w:i/>
                <w:iCs/>
                <w:sz w:val="24"/>
              </w:rPr>
              <w:t>Piezīme. Termins “iespējamība” tiek lietots termina “varbūtība” vietā, lai atspoguļotu subjektīvu rašanās iespējas analīzi, nevis tikai statistisku novērtējumu.</w:t>
            </w:r>
          </w:p>
        </w:tc>
      </w:tr>
      <w:tr w:rsidR="00246C8A" w:rsidRPr="004D7DE6" w14:paraId="2EDABF29" w14:textId="77777777" w:rsidTr="00246C8A">
        <w:trPr>
          <w:trHeight w:val="547"/>
        </w:trPr>
        <w:tc>
          <w:tcPr>
            <w:tcW w:w="1310" w:type="pct"/>
          </w:tcPr>
          <w:p w14:paraId="0BA51840" w14:textId="00E85546" w:rsidR="00246C8A" w:rsidRDefault="00246C8A" w:rsidP="00246C8A">
            <w:pPr>
              <w:pStyle w:val="TableParagraph"/>
              <w:ind w:left="0"/>
              <w:jc w:val="both"/>
              <w:rPr>
                <w:rFonts w:ascii="Times New Roman" w:hAnsi="Times New Roman"/>
                <w:b/>
                <w:sz w:val="24"/>
              </w:rPr>
            </w:pPr>
            <w:r>
              <w:rPr>
                <w:rFonts w:ascii="Times New Roman" w:hAnsi="Times New Roman"/>
                <w:b/>
                <w:sz w:val="24"/>
              </w:rPr>
              <w:t>Funkcionālā ķēde</w:t>
            </w:r>
          </w:p>
        </w:tc>
        <w:tc>
          <w:tcPr>
            <w:tcW w:w="3690" w:type="pct"/>
          </w:tcPr>
          <w:p w14:paraId="579FF730" w14:textId="6C1C0AC9" w:rsidR="00246C8A" w:rsidRDefault="00246C8A" w:rsidP="00246C8A">
            <w:pPr>
              <w:pStyle w:val="TableParagraph"/>
              <w:ind w:left="0"/>
              <w:jc w:val="both"/>
              <w:rPr>
                <w:rFonts w:ascii="Times New Roman" w:hAnsi="Times New Roman"/>
                <w:sz w:val="24"/>
              </w:rPr>
            </w:pPr>
            <w:r>
              <w:rPr>
                <w:rFonts w:ascii="Times New Roman" w:hAnsi="Times New Roman"/>
                <w:sz w:val="24"/>
              </w:rPr>
              <w:t>Funkcionālās ķēdes jēdziens nosaka, ka informācijas drošības riski tiek dalīti starp organizācijām to attiecīgo saskarņu, piemēram, piegādātāja un klienta attiecību dēļ. Informācijas drošības apdraudējuma ietekme uz drošumu galvenokārt izpaužas lidaparāta līmenī, apdraudējumam rodoties iepriekšējos ķēdes posmos. Saskaņā ar funkcionālās ķēdes jēdzienu katra organizācija novērtē informācijas drošības riskus, kurus tā, iespējams, nespēj novērst un tādējādi var pakļaut riskam citas organizācijas. Tai būtu jānodod ar risku saistītā informācija tiešajam(-ajiem) partnerim(-iem) turpmākajos ķēdes posmos, lai nodrošinātu, ka visa ķēde ir pienācīgi aizsargāta, pat ja neviena organizācija pilnīgi nepārredz un nepārvalda attiecīgo risku.</w:t>
            </w:r>
          </w:p>
        </w:tc>
      </w:tr>
      <w:tr w:rsidR="00246C8A" w:rsidRPr="004D7DE6" w14:paraId="7E457143" w14:textId="77777777" w:rsidTr="00246C8A">
        <w:trPr>
          <w:trHeight w:val="547"/>
        </w:trPr>
        <w:tc>
          <w:tcPr>
            <w:tcW w:w="1310" w:type="pct"/>
          </w:tcPr>
          <w:p w14:paraId="2F3B3925" w14:textId="75ACB467" w:rsidR="00246C8A" w:rsidRDefault="00246C8A" w:rsidP="00246C8A">
            <w:pPr>
              <w:pStyle w:val="TableParagraph"/>
              <w:ind w:left="0"/>
              <w:jc w:val="both"/>
              <w:rPr>
                <w:rFonts w:ascii="Times New Roman" w:hAnsi="Times New Roman"/>
                <w:b/>
                <w:sz w:val="24"/>
              </w:rPr>
            </w:pPr>
            <w:r>
              <w:rPr>
                <w:rFonts w:ascii="Times New Roman" w:hAnsi="Times New Roman"/>
                <w:b/>
                <w:sz w:val="24"/>
              </w:rPr>
              <w:t>Informācijas drošības kontrole</w:t>
            </w:r>
          </w:p>
        </w:tc>
        <w:tc>
          <w:tcPr>
            <w:tcW w:w="3690" w:type="pct"/>
          </w:tcPr>
          <w:p w14:paraId="0E0C05C1" w14:textId="7D91BBCA" w:rsidR="00246C8A" w:rsidRDefault="00246C8A" w:rsidP="00246C8A">
            <w:pPr>
              <w:pStyle w:val="TableParagraph"/>
              <w:ind w:left="0"/>
              <w:jc w:val="both"/>
              <w:rPr>
                <w:rFonts w:ascii="Times New Roman" w:hAnsi="Times New Roman"/>
                <w:sz w:val="24"/>
              </w:rPr>
            </w:pPr>
            <w:r>
              <w:rPr>
                <w:rFonts w:ascii="Times New Roman" w:hAnsi="Times New Roman"/>
                <w:sz w:val="24"/>
              </w:rPr>
              <w:t>Pasākums riska mazināšanai.</w:t>
            </w:r>
          </w:p>
        </w:tc>
      </w:tr>
      <w:tr w:rsidR="00246C8A" w:rsidRPr="004D7DE6" w14:paraId="56B7BC9A" w14:textId="77777777" w:rsidTr="00246C8A">
        <w:trPr>
          <w:trHeight w:val="547"/>
        </w:trPr>
        <w:tc>
          <w:tcPr>
            <w:tcW w:w="1310" w:type="pct"/>
          </w:tcPr>
          <w:p w14:paraId="65FCAA5B" w14:textId="0FA25EBC" w:rsidR="00246C8A" w:rsidRDefault="00246C8A" w:rsidP="00246C8A">
            <w:pPr>
              <w:pStyle w:val="TableParagraph"/>
              <w:ind w:left="0"/>
              <w:jc w:val="both"/>
              <w:rPr>
                <w:rFonts w:ascii="Times New Roman" w:hAnsi="Times New Roman"/>
                <w:b/>
                <w:sz w:val="24"/>
              </w:rPr>
            </w:pPr>
            <w:r>
              <w:rPr>
                <w:rFonts w:ascii="Times New Roman" w:hAnsi="Times New Roman"/>
                <w:b/>
                <w:sz w:val="24"/>
              </w:rPr>
              <w:t>Kompetence</w:t>
            </w:r>
          </w:p>
        </w:tc>
        <w:tc>
          <w:tcPr>
            <w:tcW w:w="3690" w:type="pct"/>
          </w:tcPr>
          <w:p w14:paraId="292049B0" w14:textId="63191774" w:rsidR="00246C8A" w:rsidRDefault="00246C8A" w:rsidP="00246C8A">
            <w:pPr>
              <w:pStyle w:val="TableParagraph"/>
              <w:ind w:left="0"/>
              <w:jc w:val="both"/>
              <w:rPr>
                <w:rFonts w:ascii="Times New Roman" w:hAnsi="Times New Roman"/>
                <w:sz w:val="24"/>
              </w:rPr>
            </w:pPr>
            <w:r>
              <w:rPr>
                <w:rFonts w:ascii="Times New Roman" w:hAnsi="Times New Roman"/>
                <w:sz w:val="24"/>
              </w:rPr>
              <w:t>Individuālo prasmju, praktisko un teorētisko zināšanu, attieksmes, mācību un pieredzes kopums.</w:t>
            </w:r>
          </w:p>
        </w:tc>
      </w:tr>
      <w:tr w:rsidR="00246C8A" w:rsidRPr="004D7DE6" w14:paraId="47CCF947" w14:textId="77777777" w:rsidTr="0067394A">
        <w:trPr>
          <w:trHeight w:val="388"/>
        </w:trPr>
        <w:tc>
          <w:tcPr>
            <w:tcW w:w="1310" w:type="pct"/>
          </w:tcPr>
          <w:p w14:paraId="29165C18" w14:textId="54A5B014" w:rsidR="00246C8A" w:rsidRDefault="00246C8A" w:rsidP="00246C8A">
            <w:pPr>
              <w:pStyle w:val="TableParagraph"/>
              <w:ind w:left="0"/>
              <w:jc w:val="both"/>
              <w:rPr>
                <w:rFonts w:ascii="Times New Roman" w:hAnsi="Times New Roman"/>
                <w:b/>
                <w:sz w:val="24"/>
              </w:rPr>
            </w:pPr>
            <w:r>
              <w:rPr>
                <w:rFonts w:ascii="Times New Roman" w:hAnsi="Times New Roman"/>
                <w:b/>
                <w:sz w:val="24"/>
              </w:rPr>
              <w:lastRenderedPageBreak/>
              <w:t>Korekcija</w:t>
            </w:r>
          </w:p>
        </w:tc>
        <w:tc>
          <w:tcPr>
            <w:tcW w:w="3690" w:type="pct"/>
          </w:tcPr>
          <w:p w14:paraId="59D7D32B" w14:textId="7360E187" w:rsidR="00246C8A" w:rsidRDefault="00246C8A" w:rsidP="00246C8A">
            <w:pPr>
              <w:pStyle w:val="TableParagraph"/>
              <w:ind w:left="0"/>
              <w:jc w:val="both"/>
              <w:rPr>
                <w:rFonts w:ascii="Times New Roman" w:hAnsi="Times New Roman"/>
                <w:sz w:val="24"/>
              </w:rPr>
            </w:pPr>
            <w:r>
              <w:rPr>
                <w:rFonts w:ascii="Times New Roman" w:hAnsi="Times New Roman"/>
                <w:sz w:val="24"/>
              </w:rPr>
              <w:t>Darbība, ar kuru tiek likvidēta konstatētā neatbilstība.</w:t>
            </w:r>
          </w:p>
        </w:tc>
      </w:tr>
      <w:tr w:rsidR="00246C8A" w:rsidRPr="004D7DE6" w14:paraId="2E6373E7" w14:textId="77777777" w:rsidTr="00246C8A">
        <w:trPr>
          <w:trHeight w:val="547"/>
        </w:trPr>
        <w:tc>
          <w:tcPr>
            <w:tcW w:w="1310" w:type="pct"/>
          </w:tcPr>
          <w:p w14:paraId="174A5E2E" w14:textId="66B8F851" w:rsidR="00246C8A" w:rsidRDefault="00246C8A" w:rsidP="00246C8A">
            <w:pPr>
              <w:pStyle w:val="TableParagraph"/>
              <w:ind w:left="0"/>
              <w:jc w:val="both"/>
              <w:rPr>
                <w:rFonts w:ascii="Times New Roman" w:hAnsi="Times New Roman"/>
                <w:b/>
                <w:sz w:val="24"/>
              </w:rPr>
            </w:pPr>
            <w:r>
              <w:rPr>
                <w:rFonts w:ascii="Times New Roman" w:hAnsi="Times New Roman"/>
                <w:b/>
                <w:sz w:val="24"/>
              </w:rPr>
              <w:t>Korektīvi pasākumi</w:t>
            </w:r>
          </w:p>
        </w:tc>
        <w:tc>
          <w:tcPr>
            <w:tcW w:w="3690" w:type="pct"/>
          </w:tcPr>
          <w:p w14:paraId="1B0BCA7A" w14:textId="611B3A6D" w:rsidR="00246C8A" w:rsidRDefault="00246C8A" w:rsidP="00246C8A">
            <w:pPr>
              <w:pStyle w:val="TableParagraph"/>
              <w:ind w:left="0"/>
              <w:jc w:val="both"/>
              <w:rPr>
                <w:rFonts w:ascii="Times New Roman" w:hAnsi="Times New Roman"/>
                <w:sz w:val="24"/>
              </w:rPr>
            </w:pPr>
            <w:r>
              <w:rPr>
                <w:rFonts w:ascii="Times New Roman" w:hAnsi="Times New Roman"/>
                <w:sz w:val="24"/>
              </w:rPr>
              <w:t>Pasākumi, ar kuriem tiek likvidēts(-i) galvenais(-ie) cēlonis(-ņi) vai mazinātas tā(to) sekas un novērsta konstatētās neatbilstības vai cita nevēlama apstākļa vai situācijas atkārtošanās. Lai izstrādātu efektīvus korektīvos pasākumus, ar kuriem varētu novērst atkārtošanos, būtiska nozīme ir pareizai galvenā(-o) cēloņa(-u) noteikšanai.</w:t>
            </w:r>
          </w:p>
        </w:tc>
      </w:tr>
      <w:tr w:rsidR="00246C8A" w:rsidRPr="004D7DE6" w14:paraId="30FF9CAD" w14:textId="77777777" w:rsidTr="003C0032">
        <w:trPr>
          <w:trHeight w:val="3379"/>
        </w:trPr>
        <w:tc>
          <w:tcPr>
            <w:tcW w:w="1310" w:type="pct"/>
          </w:tcPr>
          <w:p w14:paraId="07BDE164" w14:textId="397C8942" w:rsidR="00246C8A" w:rsidRDefault="00246C8A" w:rsidP="00246C8A">
            <w:pPr>
              <w:pStyle w:val="TableParagraph"/>
              <w:ind w:left="0"/>
              <w:jc w:val="both"/>
              <w:rPr>
                <w:rFonts w:ascii="Times New Roman" w:hAnsi="Times New Roman"/>
                <w:b/>
                <w:sz w:val="24"/>
              </w:rPr>
            </w:pPr>
            <w:r>
              <w:rPr>
                <w:rFonts w:ascii="Times New Roman" w:hAnsi="Times New Roman"/>
                <w:b/>
                <w:sz w:val="24"/>
              </w:rPr>
              <w:t>Novērtējums</w:t>
            </w:r>
          </w:p>
        </w:tc>
        <w:tc>
          <w:tcPr>
            <w:tcW w:w="3690" w:type="pct"/>
          </w:tcPr>
          <w:p w14:paraId="79AA6A29" w14:textId="77777777" w:rsidR="00246C8A" w:rsidRPr="004D7DE6" w:rsidRDefault="00246C8A" w:rsidP="00246C8A">
            <w:pPr>
              <w:pStyle w:val="TableParagraph"/>
              <w:ind w:left="0"/>
              <w:jc w:val="both"/>
              <w:rPr>
                <w:rFonts w:ascii="Times New Roman" w:hAnsi="Times New Roman"/>
                <w:noProof/>
                <w:sz w:val="24"/>
              </w:rPr>
            </w:pPr>
            <w:r>
              <w:rPr>
                <w:rFonts w:ascii="Times New Roman" w:hAnsi="Times New Roman"/>
                <w:sz w:val="24"/>
              </w:rPr>
              <w:t>Saistībā ar pārvaldības sistēmas darbības uzraudzību, pastāvīgiem uzlabojumiem un pārraudzību novērtējums ir plānota un dokumentēta darbība, ko veic kompetents personāls, lai novērtētu un analizētu sasniegto darbības, efektivitātes un gatavības līmeni, kā arī atbilstību organizācijas politikai un mērķiem.</w:t>
            </w:r>
          </w:p>
          <w:p w14:paraId="19B7A826" w14:textId="77777777" w:rsidR="00246C8A" w:rsidRPr="004D7DE6" w:rsidRDefault="00246C8A" w:rsidP="00246C8A">
            <w:pPr>
              <w:pStyle w:val="TableParagraph"/>
              <w:ind w:left="0"/>
              <w:jc w:val="both"/>
              <w:rPr>
                <w:rFonts w:ascii="Times New Roman" w:hAnsi="Times New Roman"/>
                <w:noProof/>
                <w:sz w:val="24"/>
              </w:rPr>
            </w:pPr>
          </w:p>
          <w:p w14:paraId="35BA7A05" w14:textId="77777777" w:rsidR="00246C8A" w:rsidRPr="004D7DE6" w:rsidRDefault="00246C8A" w:rsidP="00246C8A">
            <w:pPr>
              <w:pStyle w:val="TableParagraph"/>
              <w:ind w:left="0"/>
              <w:jc w:val="both"/>
              <w:rPr>
                <w:rFonts w:ascii="Times New Roman" w:hAnsi="Times New Roman"/>
                <w:i/>
                <w:noProof/>
                <w:sz w:val="24"/>
              </w:rPr>
            </w:pPr>
            <w:r>
              <w:rPr>
                <w:rFonts w:ascii="Times New Roman" w:hAnsi="Times New Roman"/>
                <w:i/>
                <w:sz w:val="24"/>
              </w:rPr>
              <w:t>Piezīme. Novērtējumā galvenā uzmanība tiek pievērsta sasniedzamajiem rezultātiem un vispārējai darbībai, aplūkojot organizāciju kopumā. Novērtējuma galvenais mērķis ir noteikt stiprās un vājās puses, lai veicinātu pastāvīgus uzlabojumus.</w:t>
            </w:r>
          </w:p>
          <w:p w14:paraId="4DE7DED8" w14:textId="77777777" w:rsidR="00246C8A" w:rsidRPr="004D7DE6" w:rsidRDefault="00246C8A" w:rsidP="00246C8A">
            <w:pPr>
              <w:pStyle w:val="TableParagraph"/>
              <w:ind w:left="0"/>
              <w:jc w:val="both"/>
              <w:rPr>
                <w:rFonts w:ascii="Times New Roman" w:hAnsi="Times New Roman"/>
                <w:i/>
                <w:noProof/>
                <w:sz w:val="24"/>
              </w:rPr>
            </w:pPr>
          </w:p>
          <w:p w14:paraId="1A7C6371" w14:textId="535CD3D1" w:rsidR="00246C8A" w:rsidRDefault="00246C8A" w:rsidP="00246C8A">
            <w:pPr>
              <w:pStyle w:val="TableParagraph"/>
              <w:ind w:left="0"/>
              <w:jc w:val="both"/>
              <w:rPr>
                <w:rFonts w:ascii="Times New Roman" w:hAnsi="Times New Roman"/>
                <w:sz w:val="24"/>
              </w:rPr>
            </w:pPr>
            <w:r>
              <w:rPr>
                <w:rFonts w:ascii="Times New Roman" w:hAnsi="Times New Roman"/>
                <w:i/>
                <w:sz w:val="24"/>
              </w:rPr>
              <w:t>Piezīme. “Riska novērtējuma” definīciju skatīt zemāk.</w:t>
            </w:r>
          </w:p>
        </w:tc>
      </w:tr>
      <w:tr w:rsidR="005B51E6" w:rsidRPr="004D7DE6" w14:paraId="7C79A66B" w14:textId="77777777" w:rsidTr="005B51E6">
        <w:trPr>
          <w:trHeight w:val="1845"/>
        </w:trPr>
        <w:tc>
          <w:tcPr>
            <w:tcW w:w="1310" w:type="pct"/>
          </w:tcPr>
          <w:p w14:paraId="1C3A4585" w14:textId="6652A9C1" w:rsidR="005B51E6" w:rsidRDefault="005B51E6" w:rsidP="005B51E6">
            <w:pPr>
              <w:pStyle w:val="TableParagraph"/>
              <w:ind w:left="0"/>
              <w:jc w:val="both"/>
              <w:rPr>
                <w:rFonts w:ascii="Times New Roman" w:hAnsi="Times New Roman"/>
                <w:b/>
                <w:sz w:val="24"/>
              </w:rPr>
            </w:pPr>
            <w:r>
              <w:rPr>
                <w:rFonts w:ascii="Times New Roman" w:hAnsi="Times New Roman"/>
                <w:b/>
                <w:sz w:val="24"/>
              </w:rPr>
              <w:t>Pārvaldība (darbība)</w:t>
            </w:r>
          </w:p>
        </w:tc>
        <w:tc>
          <w:tcPr>
            <w:tcW w:w="3690" w:type="pct"/>
          </w:tcPr>
          <w:p w14:paraId="0289D33E" w14:textId="0C472C3B" w:rsidR="005B51E6" w:rsidRDefault="005B51E6" w:rsidP="005B51E6">
            <w:pPr>
              <w:pStyle w:val="TableParagraph"/>
              <w:ind w:left="0"/>
              <w:jc w:val="both"/>
              <w:rPr>
                <w:rFonts w:ascii="Times New Roman" w:hAnsi="Times New Roman"/>
                <w:sz w:val="24"/>
              </w:rPr>
            </w:pPr>
            <w:r>
              <w:rPr>
                <w:rFonts w:ascii="Times New Roman" w:hAnsi="Times New Roman"/>
                <w:sz w:val="24"/>
              </w:rPr>
              <w:t>Vispārējā organizatoriskā kontekstā tā apzīmē darbības, kuru mērķis ir vadīt, kontrolēt un pastāvīgi uzlabot organizāciju attiecīgajās struktūrās. Saistībā ar Komisijas Deleģēto regulu (ES) 2022/1645 un Komisijas Īstenošanas regulu (ES) 2023/203 tā konkrētāk nozīmē tādu lēmumu pārraudzību un pieņemšanu, kas nepieciešami, lai sasniegtu organizācijas drošuma un informācijas drošības mērķus.</w:t>
            </w:r>
          </w:p>
        </w:tc>
      </w:tr>
      <w:tr w:rsidR="005B51E6" w:rsidRPr="004D7DE6" w14:paraId="2B17DD95" w14:textId="77777777" w:rsidTr="005B51E6">
        <w:trPr>
          <w:trHeight w:val="1405"/>
        </w:trPr>
        <w:tc>
          <w:tcPr>
            <w:tcW w:w="1310" w:type="pct"/>
          </w:tcPr>
          <w:p w14:paraId="33534D47" w14:textId="2178821E" w:rsidR="005B51E6" w:rsidRDefault="005B51E6" w:rsidP="005B51E6">
            <w:pPr>
              <w:pStyle w:val="TableParagraph"/>
              <w:ind w:left="0"/>
              <w:jc w:val="both"/>
              <w:rPr>
                <w:rFonts w:ascii="Times New Roman" w:hAnsi="Times New Roman"/>
                <w:b/>
                <w:sz w:val="24"/>
              </w:rPr>
            </w:pPr>
            <w:r>
              <w:rPr>
                <w:rFonts w:ascii="Times New Roman" w:hAnsi="Times New Roman"/>
                <w:b/>
                <w:sz w:val="24"/>
              </w:rPr>
              <w:t>Pārvaldības sistēma</w:t>
            </w:r>
          </w:p>
        </w:tc>
        <w:tc>
          <w:tcPr>
            <w:tcW w:w="3690" w:type="pct"/>
          </w:tcPr>
          <w:p w14:paraId="1DC86002" w14:textId="27247298" w:rsidR="005B51E6" w:rsidRDefault="005B51E6" w:rsidP="005B51E6">
            <w:pPr>
              <w:pStyle w:val="TableParagraph"/>
              <w:ind w:left="0"/>
              <w:jc w:val="both"/>
              <w:rPr>
                <w:rFonts w:ascii="Times New Roman" w:hAnsi="Times New Roman"/>
                <w:sz w:val="24"/>
              </w:rPr>
            </w:pPr>
            <w:r>
              <w:rPr>
                <w:rFonts w:ascii="Times New Roman" w:hAnsi="Times New Roman"/>
                <w:sz w:val="24"/>
              </w:rPr>
              <w:t>Savstarpēji saistītu vai mijiedarbīgu sistēmas elementu kopums, kas izveidots nolūkā izstrādāt politiku un noteikt mērķus, kā arī procesus šo mērķu sasniegšanai, un kurā sistēmas elementi ietver organizatorisko struktūru, lomas un pienākumus, plānošanu un darbību.</w:t>
            </w:r>
          </w:p>
        </w:tc>
      </w:tr>
      <w:tr w:rsidR="005B51E6" w:rsidRPr="004D7DE6" w14:paraId="42EDA132" w14:textId="77777777" w:rsidTr="005B51E6">
        <w:trPr>
          <w:trHeight w:val="774"/>
        </w:trPr>
        <w:tc>
          <w:tcPr>
            <w:tcW w:w="1310" w:type="pct"/>
          </w:tcPr>
          <w:p w14:paraId="2593B4E2" w14:textId="7FFCB1D9" w:rsidR="005B51E6" w:rsidRDefault="005B51E6" w:rsidP="005B51E6">
            <w:pPr>
              <w:pStyle w:val="TableParagraph"/>
              <w:ind w:left="0"/>
              <w:jc w:val="both"/>
              <w:rPr>
                <w:rFonts w:ascii="Times New Roman" w:hAnsi="Times New Roman"/>
                <w:b/>
                <w:sz w:val="24"/>
              </w:rPr>
            </w:pPr>
            <w:r>
              <w:rPr>
                <w:rFonts w:ascii="Times New Roman" w:hAnsi="Times New Roman"/>
                <w:b/>
                <w:sz w:val="24"/>
              </w:rPr>
              <w:t>Pieredze</w:t>
            </w:r>
          </w:p>
        </w:tc>
        <w:tc>
          <w:tcPr>
            <w:tcW w:w="3690" w:type="pct"/>
          </w:tcPr>
          <w:p w14:paraId="2E8F1A38" w14:textId="1C3FC66C" w:rsidR="005B51E6" w:rsidRDefault="005B51E6" w:rsidP="005B51E6">
            <w:pPr>
              <w:pStyle w:val="TableParagraph"/>
              <w:ind w:left="0"/>
              <w:jc w:val="both"/>
              <w:rPr>
                <w:rFonts w:ascii="Times New Roman" w:hAnsi="Times New Roman"/>
                <w:sz w:val="24"/>
              </w:rPr>
            </w:pPr>
            <w:r>
              <w:rPr>
                <w:rFonts w:ascii="Times New Roman" w:hAnsi="Times New Roman"/>
                <w:sz w:val="24"/>
              </w:rPr>
              <w:t>Fakts vai stāvoklis, kad novērošana, līdzdalība un darbību veikšana ir atstājusi iespaidu vai ar to starpniecību ir iegūtas zināšanas un prasmes.</w:t>
            </w:r>
          </w:p>
        </w:tc>
      </w:tr>
      <w:tr w:rsidR="0067394A" w:rsidRPr="004D7DE6" w14:paraId="5FAD7093" w14:textId="77777777" w:rsidTr="0067394A">
        <w:trPr>
          <w:trHeight w:val="1440"/>
        </w:trPr>
        <w:tc>
          <w:tcPr>
            <w:tcW w:w="1310" w:type="pct"/>
          </w:tcPr>
          <w:p w14:paraId="008B1E71" w14:textId="01B6E88C" w:rsidR="0067394A" w:rsidRDefault="0067394A" w:rsidP="0067394A">
            <w:pPr>
              <w:pStyle w:val="TableParagraph"/>
              <w:ind w:left="0"/>
              <w:jc w:val="both"/>
              <w:rPr>
                <w:rFonts w:ascii="Times New Roman" w:hAnsi="Times New Roman"/>
                <w:b/>
                <w:sz w:val="24"/>
              </w:rPr>
            </w:pPr>
            <w:r>
              <w:rPr>
                <w:rFonts w:ascii="Times New Roman" w:hAnsi="Times New Roman"/>
                <w:b/>
                <w:sz w:val="24"/>
              </w:rPr>
              <w:t>Revīzija</w:t>
            </w:r>
          </w:p>
        </w:tc>
        <w:tc>
          <w:tcPr>
            <w:tcW w:w="3690" w:type="pct"/>
          </w:tcPr>
          <w:p w14:paraId="6103EA4F" w14:textId="77777777" w:rsidR="0067394A" w:rsidRPr="004D7DE6" w:rsidRDefault="0067394A" w:rsidP="0067394A">
            <w:pPr>
              <w:pStyle w:val="TableParagraph"/>
              <w:ind w:left="0"/>
              <w:jc w:val="both"/>
              <w:rPr>
                <w:rFonts w:ascii="Times New Roman" w:hAnsi="Times New Roman"/>
                <w:noProof/>
                <w:sz w:val="24"/>
              </w:rPr>
            </w:pPr>
            <w:r>
              <w:rPr>
                <w:rFonts w:ascii="Times New Roman" w:hAnsi="Times New Roman"/>
                <w:sz w:val="24"/>
              </w:rPr>
              <w:t>Sistemātisks, neatkarīgs un dokumentēts process pierādījumu iegūšanai un objektīvai novērtēšanai, lai noskaidrotu to, kā tiek ievērotas prasības.</w:t>
            </w:r>
          </w:p>
          <w:p w14:paraId="6E40B7AC" w14:textId="77777777" w:rsidR="0067394A" w:rsidRPr="004D7DE6" w:rsidRDefault="0067394A" w:rsidP="0067394A">
            <w:pPr>
              <w:pStyle w:val="TableParagraph"/>
              <w:ind w:left="0"/>
              <w:jc w:val="both"/>
              <w:rPr>
                <w:rFonts w:ascii="Times New Roman" w:hAnsi="Times New Roman"/>
                <w:noProof/>
                <w:sz w:val="24"/>
              </w:rPr>
            </w:pPr>
          </w:p>
          <w:p w14:paraId="741B8AEC" w14:textId="230B0927" w:rsidR="0067394A" w:rsidRDefault="0067394A" w:rsidP="0067394A">
            <w:pPr>
              <w:pStyle w:val="TableParagraph"/>
              <w:ind w:left="0"/>
              <w:jc w:val="both"/>
              <w:rPr>
                <w:rFonts w:ascii="Times New Roman" w:hAnsi="Times New Roman"/>
                <w:sz w:val="24"/>
              </w:rPr>
            </w:pPr>
            <w:r>
              <w:rPr>
                <w:rFonts w:ascii="Times New Roman" w:hAnsi="Times New Roman"/>
                <w:i/>
                <w:sz w:val="24"/>
              </w:rPr>
              <w:t xml:space="preserve">Piezīme. Revīzijas var ietvert </w:t>
            </w:r>
            <w:r w:rsidR="00F25B8F">
              <w:rPr>
                <w:rFonts w:ascii="Times New Roman" w:hAnsi="Times New Roman"/>
                <w:i/>
                <w:sz w:val="24"/>
              </w:rPr>
              <w:t>inspekcijas</w:t>
            </w:r>
            <w:r>
              <w:rPr>
                <w:rFonts w:ascii="Times New Roman" w:hAnsi="Times New Roman"/>
                <w:i/>
                <w:sz w:val="24"/>
              </w:rPr>
              <w:t>.</w:t>
            </w:r>
          </w:p>
        </w:tc>
      </w:tr>
      <w:tr w:rsidR="0067394A" w:rsidRPr="004D7DE6" w14:paraId="70A075CD" w14:textId="77777777" w:rsidTr="0067394A">
        <w:trPr>
          <w:trHeight w:val="956"/>
        </w:trPr>
        <w:tc>
          <w:tcPr>
            <w:tcW w:w="1310" w:type="pct"/>
          </w:tcPr>
          <w:p w14:paraId="6AD809DE" w14:textId="57ECE601" w:rsidR="0067394A" w:rsidRDefault="0067394A" w:rsidP="0067394A">
            <w:pPr>
              <w:pStyle w:val="TableParagraph"/>
              <w:ind w:left="0"/>
              <w:jc w:val="both"/>
              <w:rPr>
                <w:rFonts w:ascii="Times New Roman" w:hAnsi="Times New Roman"/>
                <w:b/>
                <w:sz w:val="24"/>
              </w:rPr>
            </w:pPr>
            <w:r>
              <w:rPr>
                <w:rFonts w:ascii="Times New Roman" w:hAnsi="Times New Roman"/>
                <w:b/>
                <w:sz w:val="24"/>
              </w:rPr>
              <w:t>Riska novērtējums</w:t>
            </w:r>
          </w:p>
        </w:tc>
        <w:tc>
          <w:tcPr>
            <w:tcW w:w="3690" w:type="pct"/>
          </w:tcPr>
          <w:p w14:paraId="7CFF7E62" w14:textId="3640934C" w:rsidR="0067394A" w:rsidRDefault="0067394A" w:rsidP="0067394A">
            <w:pPr>
              <w:pStyle w:val="TableParagraph"/>
              <w:ind w:left="0"/>
              <w:jc w:val="both"/>
              <w:rPr>
                <w:rFonts w:ascii="Times New Roman" w:hAnsi="Times New Roman"/>
                <w:sz w:val="24"/>
              </w:rPr>
            </w:pPr>
            <w:r>
              <w:rPr>
                <w:rFonts w:ascii="Times New Roman" w:hAnsi="Times New Roman"/>
                <w:sz w:val="24"/>
              </w:rPr>
              <w:t>Novērtējums, kura pamatā ir inženierijas un ekspluatācijas zināšanās balstīta spriestspēja un/vai analīzes metodes, lai noteiktu, vai sasniegtais vai uztvertais risks ir pieņemams.</w:t>
            </w:r>
          </w:p>
        </w:tc>
      </w:tr>
      <w:tr w:rsidR="0067394A" w:rsidRPr="004D7DE6" w14:paraId="10586820" w14:textId="77777777" w:rsidTr="005B51E6">
        <w:trPr>
          <w:trHeight w:val="1405"/>
        </w:trPr>
        <w:tc>
          <w:tcPr>
            <w:tcW w:w="1310" w:type="pct"/>
          </w:tcPr>
          <w:p w14:paraId="1F649882" w14:textId="665FA9C4" w:rsidR="0067394A" w:rsidRDefault="0067394A" w:rsidP="0067394A">
            <w:pPr>
              <w:pStyle w:val="TableParagraph"/>
              <w:ind w:left="0"/>
              <w:jc w:val="both"/>
              <w:rPr>
                <w:rFonts w:ascii="Times New Roman" w:hAnsi="Times New Roman"/>
                <w:b/>
                <w:sz w:val="24"/>
              </w:rPr>
            </w:pPr>
            <w:r>
              <w:rPr>
                <w:rFonts w:ascii="Times New Roman" w:hAnsi="Times New Roman"/>
                <w:b/>
                <w:sz w:val="24"/>
              </w:rPr>
              <w:t>Risku reģistrs</w:t>
            </w:r>
          </w:p>
        </w:tc>
        <w:tc>
          <w:tcPr>
            <w:tcW w:w="3690" w:type="pct"/>
          </w:tcPr>
          <w:p w14:paraId="713B7084" w14:textId="7F00B843" w:rsidR="0067394A" w:rsidRDefault="0067394A" w:rsidP="0067394A">
            <w:pPr>
              <w:pStyle w:val="TableParagraph"/>
              <w:ind w:left="0"/>
              <w:jc w:val="both"/>
              <w:rPr>
                <w:rFonts w:ascii="Times New Roman" w:hAnsi="Times New Roman"/>
                <w:sz w:val="24"/>
              </w:rPr>
            </w:pPr>
            <w:r>
              <w:rPr>
                <w:rFonts w:ascii="Times New Roman" w:hAnsi="Times New Roman"/>
                <w:sz w:val="24"/>
              </w:rPr>
              <w:t>Fiziska vai digitāla formāta dokumentācija, ko izmanto kā riska pārvaldības rīku, uzglabājot tajā informāciju par visiem identificētajiem riskiem, kā arī papildu informāciju par katru risku, piemēram, riska veidu, risku mazinošus pasākumus, atbildību, statusu utt.</w:t>
            </w:r>
          </w:p>
        </w:tc>
      </w:tr>
      <w:tr w:rsidR="0067394A" w:rsidRPr="004D7DE6" w14:paraId="14D34C5C" w14:textId="77777777" w:rsidTr="003C0032">
        <w:trPr>
          <w:trHeight w:val="738"/>
        </w:trPr>
        <w:tc>
          <w:tcPr>
            <w:tcW w:w="1310" w:type="pct"/>
          </w:tcPr>
          <w:p w14:paraId="19DC3DC1" w14:textId="3949D23D" w:rsidR="0067394A" w:rsidRPr="004D7DE6" w:rsidRDefault="0067394A" w:rsidP="0067394A">
            <w:pPr>
              <w:pStyle w:val="TableParagraph"/>
              <w:ind w:left="0"/>
              <w:jc w:val="both"/>
              <w:rPr>
                <w:rFonts w:ascii="Times New Roman" w:hAnsi="Times New Roman"/>
                <w:b/>
                <w:noProof/>
                <w:sz w:val="24"/>
              </w:rPr>
            </w:pPr>
            <w:r>
              <w:rPr>
                <w:rFonts w:ascii="Times New Roman" w:hAnsi="Times New Roman"/>
                <w:b/>
                <w:sz w:val="24"/>
              </w:rPr>
              <w:lastRenderedPageBreak/>
              <w:t>Taisnīguma kultūra</w:t>
            </w:r>
          </w:p>
        </w:tc>
        <w:tc>
          <w:tcPr>
            <w:tcW w:w="3690" w:type="pct"/>
          </w:tcPr>
          <w:p w14:paraId="3139E357" w14:textId="5832B93B" w:rsidR="0067394A" w:rsidRPr="004D7DE6" w:rsidRDefault="0067394A" w:rsidP="0067394A">
            <w:pPr>
              <w:pStyle w:val="TableParagraph"/>
              <w:ind w:left="0"/>
              <w:jc w:val="both"/>
              <w:rPr>
                <w:rFonts w:ascii="Times New Roman" w:hAnsi="Times New Roman"/>
                <w:noProof/>
                <w:sz w:val="24"/>
              </w:rPr>
            </w:pPr>
            <w:r>
              <w:rPr>
                <w:rFonts w:ascii="Times New Roman" w:hAnsi="Times New Roman"/>
                <w:sz w:val="24"/>
              </w:rPr>
              <w:t>Kultūra, kurā galvenos operatorus vai citas personas nesoda par to veiktajām darbībām, bezdarbību vai pieņemtajiem lēmumiem, kas ir atbilstīgi viņu pieredzei un apmācībai, tomēr klaja nolaidība, tīši pārkāpumi un destruktīvas darbības tajā netiek pieļautas, kā noteikts Regulas (ES) Nr. 376/2014 2. pantā.</w:t>
            </w:r>
            <w:r w:rsidRPr="004D7DE6">
              <w:rPr>
                <w:rStyle w:val="FootnoteReference"/>
                <w:rFonts w:ascii="Times New Roman" w:hAnsi="Times New Roman"/>
                <w:noProof/>
                <w:sz w:val="24"/>
              </w:rPr>
              <w:footnoteReference w:id="2"/>
            </w:r>
          </w:p>
        </w:tc>
      </w:tr>
      <w:tr w:rsidR="0067394A" w:rsidRPr="004D7DE6" w14:paraId="1BD54623" w14:textId="77777777" w:rsidTr="0067394A">
        <w:trPr>
          <w:trHeight w:val="869"/>
        </w:trPr>
        <w:tc>
          <w:tcPr>
            <w:tcW w:w="1310" w:type="pct"/>
          </w:tcPr>
          <w:p w14:paraId="09253167" w14:textId="10AA0D62" w:rsidR="0067394A" w:rsidRPr="004D7DE6" w:rsidRDefault="0067394A" w:rsidP="0067394A">
            <w:pPr>
              <w:pStyle w:val="TableParagraph"/>
              <w:ind w:left="0"/>
              <w:jc w:val="both"/>
              <w:rPr>
                <w:rFonts w:ascii="Times New Roman" w:hAnsi="Times New Roman"/>
                <w:b/>
                <w:noProof/>
                <w:sz w:val="24"/>
              </w:rPr>
            </w:pPr>
            <w:r>
              <w:rPr>
                <w:rFonts w:ascii="Times New Roman" w:hAnsi="Times New Roman"/>
                <w:b/>
                <w:sz w:val="24"/>
              </w:rPr>
              <w:t>Trūkums</w:t>
            </w:r>
          </w:p>
        </w:tc>
        <w:tc>
          <w:tcPr>
            <w:tcW w:w="3690" w:type="pct"/>
          </w:tcPr>
          <w:p w14:paraId="0366DA67" w14:textId="66D023DE" w:rsidR="0067394A" w:rsidRPr="004D7DE6" w:rsidRDefault="0067394A" w:rsidP="0067394A">
            <w:pPr>
              <w:pStyle w:val="TableParagraph"/>
              <w:ind w:left="0"/>
              <w:jc w:val="both"/>
              <w:rPr>
                <w:rFonts w:ascii="Times New Roman" w:hAnsi="Times New Roman"/>
                <w:i/>
                <w:noProof/>
                <w:sz w:val="24"/>
              </w:rPr>
            </w:pPr>
            <w:r>
              <w:rPr>
                <w:rFonts w:ascii="Times New Roman" w:hAnsi="Times New Roman"/>
                <w:sz w:val="24"/>
              </w:rPr>
              <w:t>Pilnīga vai daļēja novirze no jebkuras prasības vai mērķu ievērošanas vai to neizpilde, no normatīvā vai no organizācijas viedokļa.</w:t>
            </w:r>
          </w:p>
        </w:tc>
      </w:tr>
      <w:tr w:rsidR="0067394A" w:rsidRPr="004D7DE6" w14:paraId="18A3842F" w14:textId="77777777" w:rsidTr="003C0032">
        <w:trPr>
          <w:trHeight w:val="450"/>
        </w:trPr>
        <w:tc>
          <w:tcPr>
            <w:tcW w:w="1310" w:type="pct"/>
          </w:tcPr>
          <w:p w14:paraId="1C0104F7" w14:textId="318E5F46" w:rsidR="0067394A" w:rsidRPr="004D7DE6" w:rsidRDefault="0067394A" w:rsidP="0067394A">
            <w:pPr>
              <w:pStyle w:val="TableParagraph"/>
              <w:ind w:left="0"/>
              <w:jc w:val="both"/>
              <w:rPr>
                <w:rFonts w:ascii="Times New Roman" w:hAnsi="Times New Roman"/>
                <w:b/>
                <w:noProof/>
                <w:sz w:val="24"/>
              </w:rPr>
            </w:pPr>
            <w:r>
              <w:rPr>
                <w:rFonts w:ascii="Times New Roman" w:hAnsi="Times New Roman"/>
                <w:b/>
                <w:sz w:val="24"/>
              </w:rPr>
              <w:t>Uzbrukuma vektors (jeb uzbrukuma ceļš)</w:t>
            </w:r>
          </w:p>
        </w:tc>
        <w:tc>
          <w:tcPr>
            <w:tcW w:w="3690" w:type="pct"/>
          </w:tcPr>
          <w:p w14:paraId="6E283C70" w14:textId="3DE9BCE6" w:rsidR="0067394A" w:rsidRPr="004D7DE6" w:rsidRDefault="0067394A" w:rsidP="0067394A">
            <w:pPr>
              <w:pStyle w:val="TableParagraph"/>
              <w:ind w:left="0"/>
              <w:jc w:val="both"/>
              <w:rPr>
                <w:rFonts w:ascii="Times New Roman" w:hAnsi="Times New Roman"/>
                <w:noProof/>
                <w:sz w:val="24"/>
              </w:rPr>
            </w:pPr>
            <w:r>
              <w:rPr>
                <w:rFonts w:ascii="Times New Roman" w:hAnsi="Times New Roman"/>
                <w:sz w:val="24"/>
              </w:rPr>
              <w:t xml:space="preserve">Ceļš un saskarne, ko uzbrucējs izmanto, un darbības, ko tas veic, lai izpildītu uzbrukumu, kā definēts </w:t>
            </w:r>
            <w:r>
              <w:rPr>
                <w:rFonts w:ascii="Times New Roman" w:hAnsi="Times New Roman"/>
                <w:i/>
                <w:iCs/>
                <w:sz w:val="24"/>
              </w:rPr>
              <w:t>EUROCAE</w:t>
            </w:r>
            <w:r>
              <w:rPr>
                <w:rFonts w:ascii="Times New Roman" w:hAnsi="Times New Roman"/>
                <w:sz w:val="24"/>
              </w:rPr>
              <w:t xml:space="preserve"> dokumentā Nr. ED-202.</w:t>
            </w:r>
          </w:p>
        </w:tc>
      </w:tr>
      <w:tr w:rsidR="0067394A" w:rsidRPr="004D7DE6" w14:paraId="0EAB1331" w14:textId="77777777" w:rsidTr="003C0032">
        <w:trPr>
          <w:trHeight w:val="450"/>
        </w:trPr>
        <w:tc>
          <w:tcPr>
            <w:tcW w:w="1310" w:type="pct"/>
          </w:tcPr>
          <w:p w14:paraId="00741501" w14:textId="77777777" w:rsidR="0067394A" w:rsidRPr="004D7DE6" w:rsidRDefault="0067394A" w:rsidP="0067394A">
            <w:pPr>
              <w:pStyle w:val="TableParagraph"/>
              <w:ind w:left="0"/>
              <w:jc w:val="both"/>
              <w:rPr>
                <w:rFonts w:ascii="Times New Roman" w:hAnsi="Times New Roman"/>
                <w:b/>
                <w:noProof/>
                <w:sz w:val="24"/>
              </w:rPr>
            </w:pPr>
            <w:r>
              <w:rPr>
                <w:rFonts w:ascii="Times New Roman" w:hAnsi="Times New Roman"/>
                <w:b/>
                <w:sz w:val="24"/>
              </w:rPr>
              <w:t>Zināšanas</w:t>
            </w:r>
          </w:p>
        </w:tc>
        <w:tc>
          <w:tcPr>
            <w:tcW w:w="3690" w:type="pct"/>
          </w:tcPr>
          <w:p w14:paraId="00566D48" w14:textId="77777777" w:rsidR="0067394A" w:rsidRPr="004D7DE6" w:rsidRDefault="0067394A" w:rsidP="0067394A">
            <w:pPr>
              <w:pStyle w:val="TableParagraph"/>
              <w:ind w:left="0"/>
              <w:jc w:val="both"/>
              <w:rPr>
                <w:rFonts w:ascii="Times New Roman" w:hAnsi="Times New Roman"/>
                <w:noProof/>
                <w:sz w:val="24"/>
              </w:rPr>
            </w:pPr>
            <w:r>
              <w:rPr>
                <w:rFonts w:ascii="Times New Roman" w:hAnsi="Times New Roman"/>
                <w:sz w:val="24"/>
              </w:rPr>
              <w:t>Informācijas saturs, kas nepieciešams, lai pienācīgi un pieņemamā līmenī veiktu darbu un kas parasti ir iegūts ar formālās izglītības un darbavietā gūtās pieredzes starpniecību. Šīs zināšanas ir nepieciešamas darba veikšanai, bet pašas par sevi nav pietiekamas.</w:t>
            </w:r>
          </w:p>
        </w:tc>
      </w:tr>
    </w:tbl>
    <w:p w14:paraId="5E610FE1" w14:textId="77777777" w:rsidR="004D7DE6" w:rsidRPr="004D7DE6" w:rsidRDefault="004D7DE6" w:rsidP="004D7DE6">
      <w:pPr>
        <w:jc w:val="both"/>
        <w:rPr>
          <w:rFonts w:ascii="Times New Roman" w:hAnsi="Times New Roman"/>
          <w:noProof/>
          <w:sz w:val="24"/>
        </w:rPr>
      </w:pPr>
    </w:p>
    <w:sectPr w:rsidR="004D7DE6" w:rsidRPr="004D7DE6" w:rsidSect="00D56E28">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E004" w14:textId="77777777" w:rsidR="00D56E28" w:rsidRPr="004D7DE6" w:rsidRDefault="00D56E28">
      <w:pPr>
        <w:rPr>
          <w:noProof/>
        </w:rPr>
      </w:pPr>
      <w:r w:rsidRPr="004D7DE6">
        <w:rPr>
          <w:noProof/>
        </w:rPr>
        <w:separator/>
      </w:r>
    </w:p>
  </w:endnote>
  <w:endnote w:type="continuationSeparator" w:id="0">
    <w:p w14:paraId="3B05491E" w14:textId="77777777" w:rsidR="00D56E28" w:rsidRPr="004D7DE6" w:rsidRDefault="00D56E28">
      <w:pPr>
        <w:rPr>
          <w:noProof/>
        </w:rPr>
      </w:pPr>
      <w:r w:rsidRPr="004D7DE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79AE" w14:textId="77777777" w:rsidR="0033674A" w:rsidRPr="009C04EC" w:rsidRDefault="0033674A" w:rsidP="0033674A">
    <w:pPr>
      <w:pStyle w:val="Header"/>
      <w:tabs>
        <w:tab w:val="left" w:pos="9072"/>
      </w:tabs>
      <w:rPr>
        <w:rStyle w:val="PageNumber"/>
        <w:rFonts w:ascii="Times New Roman" w:hAnsi="Times New Roman" w:cs="Times New Roman"/>
        <w:noProof/>
        <w:sz w:val="20"/>
        <w:szCs w:val="20"/>
        <w:u w:val="single"/>
        <w:lang w:val="en-US"/>
      </w:rPr>
    </w:pPr>
  </w:p>
  <w:p w14:paraId="4029099D" w14:textId="77777777" w:rsidR="0033674A" w:rsidRPr="009C04EC" w:rsidRDefault="0033674A" w:rsidP="0033674A">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1629A31" w14:textId="77777777" w:rsidR="0033674A" w:rsidRPr="009C04EC" w:rsidRDefault="0033674A" w:rsidP="0033674A">
    <w:pPr>
      <w:pStyle w:val="Header"/>
      <w:tabs>
        <w:tab w:val="right" w:pos="9072"/>
      </w:tabs>
      <w:rPr>
        <w:rStyle w:val="PageNumber"/>
        <w:rFonts w:ascii="Times New Roman" w:hAnsi="Times New Roman" w:cs="Times New Roman"/>
        <w:noProof/>
        <w:sz w:val="20"/>
        <w:szCs w:val="20"/>
        <w:u w:val="single"/>
        <w:lang w:val="en-US"/>
      </w:rPr>
    </w:pPr>
  </w:p>
  <w:p w14:paraId="7833986B" w14:textId="1A92120D" w:rsidR="00A27A00" w:rsidRPr="0033674A" w:rsidRDefault="0033674A" w:rsidP="0033674A">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EB8D" w14:textId="77777777" w:rsidR="002D1928" w:rsidRPr="009C04EC" w:rsidRDefault="002D1928" w:rsidP="002D1928">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C4E43A8" w14:textId="77777777" w:rsidR="002D1928" w:rsidRPr="009C04EC" w:rsidRDefault="002D1928" w:rsidP="002D1928">
    <w:pPr>
      <w:pStyle w:val="Header"/>
      <w:tabs>
        <w:tab w:val="left" w:pos="9072"/>
      </w:tabs>
      <w:rPr>
        <w:rStyle w:val="PageNumber"/>
        <w:rFonts w:ascii="Times New Roman" w:hAnsi="Times New Roman" w:cs="Times New Roman"/>
        <w:noProof/>
        <w:sz w:val="20"/>
        <w:szCs w:val="20"/>
        <w:u w:val="single"/>
        <w:lang w:val="en-US"/>
      </w:rPr>
    </w:pPr>
  </w:p>
  <w:p w14:paraId="114DE860" w14:textId="0EACBA6F" w:rsidR="00A27A00" w:rsidRPr="002D1928" w:rsidRDefault="002D1928">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27A7" w14:textId="77777777" w:rsidR="00D56E28" w:rsidRPr="004D7DE6" w:rsidRDefault="00D56E28">
      <w:pPr>
        <w:rPr>
          <w:noProof/>
        </w:rPr>
      </w:pPr>
      <w:r w:rsidRPr="004D7DE6">
        <w:rPr>
          <w:noProof/>
        </w:rPr>
        <w:separator/>
      </w:r>
    </w:p>
  </w:footnote>
  <w:footnote w:type="continuationSeparator" w:id="0">
    <w:p w14:paraId="70E8E664" w14:textId="77777777" w:rsidR="00D56E28" w:rsidRPr="004D7DE6" w:rsidRDefault="00D56E28">
      <w:pPr>
        <w:rPr>
          <w:noProof/>
        </w:rPr>
      </w:pPr>
      <w:r w:rsidRPr="004D7DE6">
        <w:rPr>
          <w:noProof/>
        </w:rPr>
        <w:continuationSeparator/>
      </w:r>
    </w:p>
  </w:footnote>
  <w:footnote w:id="1">
    <w:p w14:paraId="3BFE3DFA" w14:textId="590D67DA" w:rsidR="004D7DE6" w:rsidRPr="004D7DE6" w:rsidRDefault="004D7DE6" w:rsidP="004D7DE6">
      <w:pPr>
        <w:pStyle w:val="FootnoteText"/>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Šā izdevuma spēkā stāšanās datumu lūdzam skatīt </w:t>
      </w:r>
      <w:r>
        <w:rPr>
          <w:rFonts w:ascii="Times New Roman" w:hAnsi="Times New Roman"/>
          <w:i/>
          <w:iCs/>
        </w:rPr>
        <w:t>ED</w:t>
      </w:r>
      <w:r>
        <w:rPr>
          <w:rFonts w:ascii="Times New Roman" w:hAnsi="Times New Roman"/>
        </w:rPr>
        <w:t xml:space="preserve"> Lēmumā 2023/008/R, kas publicēts </w:t>
      </w:r>
      <w:r>
        <w:rPr>
          <w:rFonts w:ascii="Times New Roman" w:hAnsi="Times New Roman"/>
          <w:i/>
          <w:iCs/>
        </w:rPr>
        <w:t>EASA</w:t>
      </w:r>
      <w:r>
        <w:rPr>
          <w:rFonts w:ascii="Times New Roman" w:hAnsi="Times New Roman"/>
        </w:rPr>
        <w:t xml:space="preserve"> </w:t>
      </w:r>
      <w:hyperlink r:id="rId1" w:history="1">
        <w:r w:rsidRPr="00990640">
          <w:rPr>
            <w:rStyle w:val="Hyperlink"/>
            <w:rFonts w:ascii="Times New Roman" w:hAnsi="Times New Roman"/>
          </w:rPr>
          <w:t>oficiālajā publikācijā</w:t>
        </w:r>
      </w:hyperlink>
      <w:r>
        <w:rPr>
          <w:rFonts w:ascii="Times New Roman" w:hAnsi="Times New Roman"/>
        </w:rPr>
        <w:t>.</w:t>
      </w:r>
    </w:p>
  </w:footnote>
  <w:footnote w:id="2">
    <w:p w14:paraId="2CF8F243" w14:textId="77777777" w:rsidR="0067394A" w:rsidRPr="004D7DE6" w:rsidRDefault="0067394A" w:rsidP="004D7DE6">
      <w:pPr>
        <w:pStyle w:val="FootnoteText"/>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Eiropas Parlamenta un Padomes 2014. gada 3. aprīļa Regula (ES) Nr. 376/2014 par ziņošanu, analīzi un turpmākajiem pasākumiem attiecībā uz atgadījumiem civilajā aviācijā un ar ko groza Eiropas Parlamenta un Padomes Regulu (ES) Nr. 996/2010 un atceļ Eiropas Parlamenta un Padomes Direktīvu 2003/42/EK, Komisijas Regulas (EK) Nr. 1321/2007 un (EK) Nr. 1330/2007 (OV, L 122, 24.04.2014., 18. lpp.) (https://eur-lex.europa.eu/legal- content/EN/TXT/?uri=CELEX%3A32014R0376&amp;qid=1669377456448).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7E8B" w14:textId="77777777" w:rsidR="001020FF" w:rsidRPr="009C04EC" w:rsidRDefault="001020FF" w:rsidP="001020FF">
    <w:pPr>
      <w:pStyle w:val="Header"/>
      <w:rPr>
        <w:rStyle w:val="PageNumber"/>
        <w:noProof/>
        <w:sz w:val="18"/>
        <w:szCs w:val="18"/>
        <w:u w:val="single"/>
        <w:lang w:val="en-US"/>
      </w:rPr>
    </w:pPr>
  </w:p>
  <w:p w14:paraId="7278455A" w14:textId="77777777" w:rsidR="001020FF" w:rsidRPr="009C04EC" w:rsidRDefault="001020FF" w:rsidP="001020FF">
    <w:pPr>
      <w:pStyle w:val="Header"/>
      <w:tabs>
        <w:tab w:val="clear" w:pos="4513"/>
        <w:tab w:val="center" w:pos="9072"/>
      </w:tabs>
      <w:rPr>
        <w:noProof/>
        <w:sz w:val="18"/>
        <w:szCs w:val="18"/>
        <w:u w:val="single"/>
        <w:lang w:val="en-US"/>
      </w:rPr>
    </w:pPr>
    <w:r w:rsidRPr="009C04EC">
      <w:rPr>
        <w:noProof/>
        <w:sz w:val="18"/>
        <w:szCs w:val="18"/>
        <w:u w:val="single"/>
        <w:lang w:val="en-US"/>
      </w:rPr>
      <w:tab/>
    </w:r>
  </w:p>
  <w:p w14:paraId="69C115CF" w14:textId="77777777" w:rsidR="00A27A00" w:rsidRDefault="00A27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7055" w14:textId="77777777" w:rsidR="00A27A00" w:rsidRPr="009C04EC" w:rsidRDefault="00A27A00" w:rsidP="00A27A00">
    <w:pPr>
      <w:pStyle w:val="Header"/>
      <w:pBdr>
        <w:bottom w:val="single" w:sz="12" w:space="1" w:color="auto"/>
      </w:pBdr>
      <w:rPr>
        <w:noProof/>
        <w:sz w:val="18"/>
        <w:szCs w:val="18"/>
        <w:lang w:val="en-US"/>
      </w:rPr>
    </w:pPr>
  </w:p>
  <w:p w14:paraId="22369877" w14:textId="77777777" w:rsidR="00A27A00" w:rsidRDefault="00A27A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3BC1"/>
    <w:rsid w:val="0006488F"/>
    <w:rsid w:val="000C129C"/>
    <w:rsid w:val="001020FF"/>
    <w:rsid w:val="001247E4"/>
    <w:rsid w:val="00171838"/>
    <w:rsid w:val="001B5BE5"/>
    <w:rsid w:val="001D3126"/>
    <w:rsid w:val="00246C8A"/>
    <w:rsid w:val="00277208"/>
    <w:rsid w:val="002D1928"/>
    <w:rsid w:val="0033674A"/>
    <w:rsid w:val="003B0203"/>
    <w:rsid w:val="004602C7"/>
    <w:rsid w:val="004D1AE7"/>
    <w:rsid w:val="004D3BC1"/>
    <w:rsid w:val="004D7DE6"/>
    <w:rsid w:val="0050739F"/>
    <w:rsid w:val="00592679"/>
    <w:rsid w:val="005B51E6"/>
    <w:rsid w:val="00640DBC"/>
    <w:rsid w:val="0067394A"/>
    <w:rsid w:val="00675935"/>
    <w:rsid w:val="007553DE"/>
    <w:rsid w:val="00894F8A"/>
    <w:rsid w:val="008A5537"/>
    <w:rsid w:val="008A64AF"/>
    <w:rsid w:val="008C123F"/>
    <w:rsid w:val="008C70DD"/>
    <w:rsid w:val="00944D8B"/>
    <w:rsid w:val="00990640"/>
    <w:rsid w:val="00A27A00"/>
    <w:rsid w:val="00A36E01"/>
    <w:rsid w:val="00A5255A"/>
    <w:rsid w:val="00AD04C3"/>
    <w:rsid w:val="00B80C22"/>
    <w:rsid w:val="00BD12BA"/>
    <w:rsid w:val="00BD53A3"/>
    <w:rsid w:val="00C32768"/>
    <w:rsid w:val="00C52A86"/>
    <w:rsid w:val="00D56E28"/>
    <w:rsid w:val="00DC1050"/>
    <w:rsid w:val="00F25B8F"/>
    <w:rsid w:val="00F56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C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4"/>
      <w:ind w:left="3218" w:right="3397"/>
      <w:jc w:val="center"/>
      <w:outlineLvl w:val="0"/>
    </w:pPr>
    <w:rPr>
      <w:b/>
      <w:bCs/>
      <w:sz w:val="32"/>
      <w:szCs w:val="32"/>
    </w:rPr>
  </w:style>
  <w:style w:type="paragraph" w:styleId="Heading2">
    <w:name w:val="heading 2"/>
    <w:basedOn w:val="Normal"/>
    <w:uiPriority w:val="9"/>
    <w:unhideWhenUsed/>
    <w:qFormat/>
    <w:pPr>
      <w:spacing w:before="603"/>
      <w:ind w:left="12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right="186"/>
      <w:jc w:val="center"/>
    </w:pPr>
    <w:rPr>
      <w:b/>
      <w:bCs/>
      <w:sz w:val="32"/>
      <w:szCs w:val="32"/>
    </w:rPr>
  </w:style>
  <w:style w:type="paragraph" w:styleId="TOC2">
    <w:name w:val="toc 2"/>
    <w:basedOn w:val="Normal"/>
    <w:uiPriority w:val="1"/>
    <w:qFormat/>
    <w:pPr>
      <w:spacing w:before="238"/>
      <w:ind w:left="1430" w:right="406" w:hanging="1311"/>
      <w:jc w:val="right"/>
    </w:pPr>
    <w:rPr>
      <w:b/>
      <w:bCs/>
      <w:sz w:val="32"/>
      <w:szCs w:val="32"/>
    </w:rPr>
  </w:style>
  <w:style w:type="paragraph" w:styleId="TOC3">
    <w:name w:val="toc 3"/>
    <w:basedOn w:val="Normal"/>
    <w:uiPriority w:val="1"/>
    <w:qFormat/>
    <w:pPr>
      <w:spacing w:before="118"/>
      <w:ind w:left="403"/>
    </w:pPr>
    <w:rPr>
      <w:b/>
      <w:bCs/>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left="400" w:right="100"/>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nhideWhenUsed/>
    <w:rsid w:val="00DC1050"/>
    <w:pPr>
      <w:tabs>
        <w:tab w:val="center" w:pos="4513"/>
        <w:tab w:val="right" w:pos="9026"/>
      </w:tabs>
    </w:pPr>
  </w:style>
  <w:style w:type="character" w:customStyle="1" w:styleId="HeaderChar">
    <w:name w:val="Header Char"/>
    <w:basedOn w:val="DefaultParagraphFont"/>
    <w:link w:val="Header"/>
    <w:uiPriority w:val="99"/>
    <w:rsid w:val="00DC1050"/>
    <w:rPr>
      <w:rFonts w:ascii="Calibri" w:eastAsia="Calibri" w:hAnsi="Calibri" w:cs="Calibri"/>
    </w:rPr>
  </w:style>
  <w:style w:type="paragraph" w:styleId="Footer">
    <w:name w:val="footer"/>
    <w:basedOn w:val="Normal"/>
    <w:link w:val="FooterChar"/>
    <w:unhideWhenUsed/>
    <w:rsid w:val="00DC1050"/>
    <w:pPr>
      <w:tabs>
        <w:tab w:val="center" w:pos="4513"/>
        <w:tab w:val="right" w:pos="9026"/>
      </w:tabs>
    </w:pPr>
  </w:style>
  <w:style w:type="character" w:customStyle="1" w:styleId="FooterChar">
    <w:name w:val="Footer Char"/>
    <w:basedOn w:val="DefaultParagraphFont"/>
    <w:link w:val="Footer"/>
    <w:uiPriority w:val="99"/>
    <w:rsid w:val="00DC1050"/>
    <w:rPr>
      <w:rFonts w:ascii="Calibri" w:eastAsia="Calibri" w:hAnsi="Calibri" w:cs="Calibri"/>
    </w:rPr>
  </w:style>
  <w:style w:type="paragraph" w:styleId="FootnoteText">
    <w:name w:val="footnote text"/>
    <w:basedOn w:val="Normal"/>
    <w:link w:val="FootnoteTextChar"/>
    <w:uiPriority w:val="99"/>
    <w:semiHidden/>
    <w:unhideWhenUsed/>
    <w:rsid w:val="00640DBC"/>
    <w:rPr>
      <w:sz w:val="20"/>
      <w:szCs w:val="20"/>
    </w:rPr>
  </w:style>
  <w:style w:type="character" w:customStyle="1" w:styleId="FootnoteTextChar">
    <w:name w:val="Footnote Text Char"/>
    <w:basedOn w:val="DefaultParagraphFont"/>
    <w:link w:val="FootnoteText"/>
    <w:uiPriority w:val="99"/>
    <w:semiHidden/>
    <w:rsid w:val="00640DBC"/>
    <w:rPr>
      <w:rFonts w:ascii="Calibri" w:eastAsia="Calibri" w:hAnsi="Calibri" w:cs="Calibri"/>
      <w:sz w:val="20"/>
      <w:szCs w:val="20"/>
    </w:rPr>
  </w:style>
  <w:style w:type="character" w:styleId="FootnoteReference">
    <w:name w:val="footnote reference"/>
    <w:basedOn w:val="DefaultParagraphFont"/>
    <w:uiPriority w:val="99"/>
    <w:semiHidden/>
    <w:unhideWhenUsed/>
    <w:rsid w:val="00640DBC"/>
    <w:rPr>
      <w:vertAlign w:val="superscript"/>
    </w:rPr>
  </w:style>
  <w:style w:type="character" w:styleId="PageNumber">
    <w:name w:val="page number"/>
    <w:basedOn w:val="DefaultParagraphFont"/>
    <w:semiHidden/>
    <w:rsid w:val="002D1928"/>
  </w:style>
  <w:style w:type="character" w:styleId="Hyperlink">
    <w:name w:val="Hyperlink"/>
    <w:basedOn w:val="DefaultParagraphFont"/>
    <w:uiPriority w:val="99"/>
    <w:unhideWhenUsed/>
    <w:rsid w:val="00990640"/>
    <w:rPr>
      <w:color w:val="0000FF" w:themeColor="hyperlink"/>
      <w:u w:val="single"/>
    </w:rPr>
  </w:style>
  <w:style w:type="character" w:styleId="UnresolvedMention">
    <w:name w:val="Unresolved Mention"/>
    <w:basedOn w:val="DefaultParagraphFont"/>
    <w:uiPriority w:val="99"/>
    <w:semiHidden/>
    <w:unhideWhenUsed/>
    <w:rsid w:val="0099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en/official-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D576E-8238-49F3-B7CF-47B7F15C2FB0}"/>
</file>

<file path=customXml/itemProps2.xml><?xml version="1.0" encoding="utf-8"?>
<ds:datastoreItem xmlns:ds="http://schemas.openxmlformats.org/officeDocument/2006/customXml" ds:itemID="{7885304F-35E0-4338-A004-5FD894654EC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DA72E795-3CD1-47D9-B291-4D424BF9DA05}">
  <ds:schemaRefs>
    <ds:schemaRef ds:uri="http://schemas.openxmlformats.org/officeDocument/2006/bibliography"/>
  </ds:schemaRefs>
</ds:datastoreItem>
</file>

<file path=customXml/itemProps4.xml><?xml version="1.0" encoding="utf-8"?>
<ds:datastoreItem xmlns:ds="http://schemas.openxmlformats.org/officeDocument/2006/customXml" ds:itemID="{ED4436DF-406D-446D-8021-428BEAA9C1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2023-10-23T09:20:00Z</dcterms:created>
  <dcterms:modified xsi:type="dcterms:W3CDTF">2024-02-27T15:15:00Z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